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43F67" w14:textId="52622FAD" w:rsidR="00B123FF" w:rsidRPr="00455A3C" w:rsidRDefault="00C67B70" w:rsidP="00F60A53">
      <w:pPr>
        <w:pStyle w:val="F2-zkladn"/>
        <w:spacing w:line="276" w:lineRule="auto"/>
        <w:rPr>
          <w:b/>
          <w:sz w:val="28"/>
          <w:szCs w:val="28"/>
        </w:rPr>
      </w:pPr>
      <w:bookmarkStart w:id="0" w:name="_Hlk177547361"/>
      <w:bookmarkEnd w:id="0"/>
      <w:r>
        <w:rPr>
          <w:b/>
          <w:sz w:val="28"/>
          <w:szCs w:val="28"/>
        </w:rPr>
        <w:t>ANALÝZA</w:t>
      </w:r>
    </w:p>
    <w:p w14:paraId="5F9142CF" w14:textId="083A4471" w:rsidR="000A2833" w:rsidRPr="00455A3C" w:rsidRDefault="00A224C0" w:rsidP="00F60A53">
      <w:pPr>
        <w:pStyle w:val="F2-zkladn"/>
        <w:spacing w:line="276" w:lineRule="auto"/>
        <w:rPr>
          <w:b/>
          <w:sz w:val="28"/>
          <w:szCs w:val="28"/>
        </w:rPr>
      </w:pPr>
      <w:r>
        <w:rPr>
          <w:noProof/>
        </w:rPr>
        <mc:AlternateContent>
          <mc:Choice Requires="wps">
            <w:drawing>
              <wp:inline distT="0" distB="0" distL="0" distR="0" wp14:anchorId="5CC3243D" wp14:editId="107FAF3F">
                <wp:extent cx="301625" cy="301625"/>
                <wp:effectExtent l="0" t="0" r="0" b="4445"/>
                <wp:docPr id="1760161048"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B7C995"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62BCEAB8" w14:textId="34115EE1" w:rsidR="000C727D" w:rsidRDefault="00A224C0" w:rsidP="002027ED">
      <w:pPr>
        <w:pStyle w:val="F2-zkladn"/>
        <w:tabs>
          <w:tab w:val="right" w:pos="9070"/>
        </w:tabs>
        <w:spacing w:line="276" w:lineRule="auto"/>
      </w:pPr>
      <w:r>
        <w:rPr>
          <w:noProof/>
        </w:rPr>
        <mc:AlternateContent>
          <mc:Choice Requires="wps">
            <w:drawing>
              <wp:inline distT="0" distB="0" distL="0" distR="0" wp14:anchorId="79DC8C68" wp14:editId="0ADEAC68">
                <wp:extent cx="301625" cy="301625"/>
                <wp:effectExtent l="0" t="1270" r="0" b="1905"/>
                <wp:docPr id="168004872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712A11"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8A2C50">
        <w:t>30</w:t>
      </w:r>
      <w:r w:rsidR="005420B4" w:rsidRPr="00893890">
        <w:t>.</w:t>
      </w:r>
      <w:r w:rsidR="00296EFF">
        <w:t xml:space="preserve"> </w:t>
      </w:r>
      <w:r w:rsidR="009727AA">
        <w:t>září</w:t>
      </w:r>
      <w:r w:rsidR="00EB4F26">
        <w:t xml:space="preserve"> </w:t>
      </w:r>
      <w:r w:rsidR="00A30105" w:rsidRPr="00893890">
        <w:t>20</w:t>
      </w:r>
      <w:r w:rsidR="00A7414F" w:rsidRPr="00893890">
        <w:t>2</w:t>
      </w:r>
      <w:r w:rsidR="00CB6DEB">
        <w:t>4</w:t>
      </w:r>
    </w:p>
    <w:p w14:paraId="048587CA" w14:textId="0A3930DE" w:rsidR="002027ED" w:rsidRPr="002027ED" w:rsidRDefault="002027ED" w:rsidP="002027ED">
      <w:pPr>
        <w:pStyle w:val="F2-zkladn"/>
        <w:tabs>
          <w:tab w:val="right" w:pos="9070"/>
        </w:tabs>
        <w:spacing w:line="276" w:lineRule="auto"/>
      </w:pPr>
    </w:p>
    <w:p w14:paraId="75349DD5" w14:textId="243BC493" w:rsidR="004D79D4" w:rsidRDefault="00262CDC" w:rsidP="00BE3711">
      <w:pPr>
        <w:pStyle w:val="paragraph"/>
        <w:spacing w:before="0" w:beforeAutospacing="0" w:after="0" w:afterAutospacing="0" w:line="276" w:lineRule="auto"/>
        <w:textAlignment w:val="baseline"/>
        <w:rPr>
          <w:rStyle w:val="normaltextrun"/>
          <w:rFonts w:ascii="Arial" w:hAnsi="Arial" w:cs="Arial"/>
          <w:b/>
          <w:bCs/>
          <w:color w:val="000000"/>
          <w:sz w:val="28"/>
          <w:szCs w:val="28"/>
          <w:lang w:val="cs-CZ"/>
        </w:rPr>
      </w:pPr>
      <w:r>
        <w:rPr>
          <w:rStyle w:val="normaltextrun"/>
          <w:rFonts w:ascii="Arial" w:hAnsi="Arial" w:cs="Arial"/>
          <w:b/>
          <w:bCs/>
          <w:color w:val="000000"/>
          <w:sz w:val="28"/>
          <w:szCs w:val="28"/>
          <w:lang w:val="cs-CZ"/>
        </w:rPr>
        <w:t xml:space="preserve">Fidelity International: </w:t>
      </w:r>
      <w:r w:rsidR="00755878">
        <w:rPr>
          <w:rStyle w:val="normaltextrun"/>
          <w:rFonts w:ascii="Arial" w:hAnsi="Arial" w:cs="Arial"/>
          <w:b/>
          <w:bCs/>
          <w:color w:val="000000"/>
          <w:sz w:val="28"/>
          <w:szCs w:val="28"/>
          <w:lang w:val="cs-CZ"/>
        </w:rPr>
        <w:t>Investiční výhled pro 4. čtvrtletí v</w:t>
      </w:r>
      <w:r w:rsidR="004D79D4">
        <w:rPr>
          <w:rStyle w:val="normaltextrun"/>
          <w:rFonts w:ascii="Arial" w:hAnsi="Arial" w:cs="Arial"/>
          <w:b/>
          <w:bCs/>
          <w:color w:val="000000"/>
          <w:sz w:val="28"/>
          <w:szCs w:val="28"/>
          <w:lang w:val="cs-CZ"/>
        </w:rPr>
        <w:t> </w:t>
      </w:r>
      <w:r w:rsidR="00755878">
        <w:rPr>
          <w:rStyle w:val="normaltextrun"/>
          <w:rFonts w:ascii="Arial" w:hAnsi="Arial" w:cs="Arial"/>
          <w:b/>
          <w:bCs/>
          <w:color w:val="000000"/>
          <w:sz w:val="28"/>
          <w:szCs w:val="28"/>
          <w:lang w:val="cs-CZ"/>
        </w:rPr>
        <w:t>Asii</w:t>
      </w:r>
    </w:p>
    <w:p w14:paraId="052333DB" w14:textId="77777777" w:rsidR="004D79D4" w:rsidRDefault="004D79D4" w:rsidP="00BE3711">
      <w:pPr>
        <w:pStyle w:val="paragraph"/>
        <w:spacing w:before="0" w:beforeAutospacing="0" w:after="0" w:afterAutospacing="0" w:line="276" w:lineRule="auto"/>
        <w:textAlignment w:val="baseline"/>
        <w:rPr>
          <w:rStyle w:val="normaltextrun"/>
          <w:rFonts w:ascii="Arial" w:hAnsi="Arial" w:cs="Arial"/>
          <w:b/>
          <w:bCs/>
          <w:color w:val="000000"/>
          <w:sz w:val="28"/>
          <w:szCs w:val="28"/>
          <w:lang w:val="cs-CZ"/>
        </w:rPr>
      </w:pPr>
    </w:p>
    <w:p w14:paraId="11B6F5ED" w14:textId="6E567068" w:rsidR="00E76BE0" w:rsidRPr="00725F39" w:rsidRDefault="00755878" w:rsidP="00BE3711">
      <w:pPr>
        <w:pStyle w:val="paragraph"/>
        <w:spacing w:before="0" w:beforeAutospacing="0" w:after="0" w:afterAutospacing="0" w:line="276" w:lineRule="auto"/>
        <w:textAlignment w:val="baseline"/>
        <w:rPr>
          <w:rFonts w:ascii="Arial" w:hAnsi="Arial" w:cs="Arial"/>
          <w:b/>
          <w:bCs/>
          <w:color w:val="000000"/>
          <w:sz w:val="28"/>
          <w:szCs w:val="28"/>
          <w:lang w:val="cs-CZ"/>
        </w:rPr>
      </w:pPr>
      <w:r>
        <w:rPr>
          <w:rStyle w:val="normaltextrun"/>
          <w:rFonts w:ascii="Arial" w:hAnsi="Arial" w:cs="Arial"/>
          <w:b/>
          <w:bCs/>
          <w:color w:val="000000"/>
          <w:sz w:val="28"/>
          <w:szCs w:val="28"/>
          <w:lang w:val="cs-CZ"/>
        </w:rPr>
        <w:t>Jít s východním větrem</w:t>
      </w:r>
    </w:p>
    <w:p w14:paraId="61504C6E" w14:textId="1344CB14" w:rsidR="00DA3B92" w:rsidRPr="00755878" w:rsidRDefault="00755878" w:rsidP="00755878">
      <w:pPr>
        <w:spacing w:line="276" w:lineRule="auto"/>
        <w:rPr>
          <w:rFonts w:asciiTheme="minorHAnsi" w:hAnsiTheme="minorHAnsi" w:cstheme="minorHAnsi"/>
          <w:b/>
          <w:bCs/>
          <w:sz w:val="24"/>
          <w:szCs w:val="24"/>
        </w:rPr>
      </w:pPr>
      <w:r>
        <w:rPr>
          <w:rFonts w:asciiTheme="minorHAnsi" w:hAnsiTheme="minorHAnsi" w:cstheme="minorHAnsi"/>
          <w:b/>
          <w:bCs/>
          <w:sz w:val="24"/>
          <w:szCs w:val="24"/>
        </w:rPr>
        <w:t xml:space="preserve">Pokles růstu v USA bude mít dopad i na tempo expanze v Asii, nicméně zpomalení také poskytne centrálním bankám v regionu prostor pro snížení úrokových sazeb. </w:t>
      </w:r>
    </w:p>
    <w:p w14:paraId="4A213432" w14:textId="77777777" w:rsidR="00755878" w:rsidRPr="00755878" w:rsidRDefault="00755878" w:rsidP="001D4CF8">
      <w:pPr>
        <w:spacing w:line="360" w:lineRule="auto"/>
        <w:rPr>
          <w:color w:val="20242B"/>
          <w:shd w:val="clear" w:color="auto" w:fill="FFFFFF"/>
        </w:rPr>
      </w:pPr>
      <w:r w:rsidRPr="00755878">
        <w:rPr>
          <w:color w:val="20242B"/>
          <w:shd w:val="clear" w:color="auto" w:fill="FFFFFF"/>
        </w:rPr>
        <w:t>V mýtickém souboji čínské historie, bitvě u Rudých útesů, která vypadá podobně jako souboj Davida a Goliáše, porazí malé loďstvo mnohem silnější protivníky tím, že přivolá východní vítr a tím zapálí celé nepřátelské flotily. Téměř o dvě tisíciletí později je pořád ještě „přivolání východního větru“ čínským výrazem pro chytré strategie, které využívají vnější síly ve svůj prospěch.</w:t>
      </w:r>
    </w:p>
    <w:p w14:paraId="0CEC625D" w14:textId="77777777" w:rsidR="001D4CF8" w:rsidRDefault="00755878" w:rsidP="001D4CF8">
      <w:pPr>
        <w:pStyle w:val="FIL3Body"/>
        <w:spacing w:line="360" w:lineRule="auto"/>
        <w:jc w:val="both"/>
        <w:rPr>
          <w:rFonts w:cs="Arial"/>
          <w:color w:val="20242B"/>
          <w:sz w:val="20"/>
          <w:szCs w:val="20"/>
          <w:shd w:val="clear" w:color="auto" w:fill="FFFFFF"/>
          <w:lang w:val="cs-CZ" w:eastAsia="cs-CZ"/>
        </w:rPr>
      </w:pPr>
      <w:r w:rsidRPr="00755878">
        <w:rPr>
          <w:rFonts w:cs="Arial"/>
          <w:color w:val="20242B"/>
          <w:sz w:val="20"/>
          <w:szCs w:val="20"/>
          <w:shd w:val="clear" w:color="auto" w:fill="FFFFFF"/>
          <w:lang w:val="cs-CZ" w:eastAsia="cs-CZ"/>
        </w:rPr>
        <w:br/>
        <w:t>Pro ty, kdo investují v Asii, může být čtvrté čtvrtletí roku 2024 vhodným obdobím pro tento přístup. Rizika mimo region se stupňují, od zpomalení růstu v USA a obratu v měnové politice až po očekávání na geopolitických otřesů. Taktický, defenzivní postoj – konstruktivní u dluhopisů, selektivní u akcií – by mohl investorům pomoci využít těchto okolností co nejlépe a připravit se na lepší časy.</w:t>
      </w:r>
    </w:p>
    <w:p w14:paraId="2DC32760" w14:textId="63863EC2" w:rsidR="00DA3B92" w:rsidRPr="001D4CF8" w:rsidRDefault="001D4CF8" w:rsidP="001D4CF8">
      <w:pPr>
        <w:pStyle w:val="FIL3Body"/>
        <w:spacing w:line="360" w:lineRule="auto"/>
        <w:jc w:val="both"/>
        <w:rPr>
          <w:rFonts w:cs="Arial"/>
          <w:color w:val="20242B"/>
          <w:sz w:val="20"/>
          <w:szCs w:val="20"/>
          <w:shd w:val="clear" w:color="auto" w:fill="FFFFFF"/>
          <w:lang w:val="cs-CZ" w:eastAsia="cs-CZ"/>
        </w:rPr>
      </w:pPr>
      <w:r w:rsidRPr="008A2C50">
        <w:rPr>
          <w:rFonts w:cs="Arial"/>
          <w:b/>
          <w:bCs/>
          <w:color w:val="20242B"/>
          <w:sz w:val="20"/>
          <w:szCs w:val="20"/>
          <w:shd w:val="clear" w:color="auto" w:fill="FFFFFF"/>
          <w:lang w:val="cs-CZ" w:eastAsia="cs-CZ"/>
        </w:rPr>
        <w:t>O</w:t>
      </w:r>
      <w:r w:rsidR="00755878">
        <w:rPr>
          <w:rFonts w:cs="Arial"/>
          <w:b/>
          <w:bCs/>
          <w:color w:val="20242B"/>
          <w:sz w:val="20"/>
          <w:szCs w:val="20"/>
          <w:shd w:val="clear" w:color="auto" w:fill="FFFFFF"/>
          <w:lang w:val="cs-CZ" w:eastAsia="cs-CZ"/>
        </w:rPr>
        <w:t xml:space="preserve">svobozené od </w:t>
      </w:r>
      <w:proofErr w:type="spellStart"/>
      <w:r w:rsidR="00755878">
        <w:rPr>
          <w:rFonts w:cs="Arial"/>
          <w:b/>
          <w:bCs/>
          <w:color w:val="20242B"/>
          <w:sz w:val="20"/>
          <w:szCs w:val="20"/>
          <w:shd w:val="clear" w:color="auto" w:fill="FFFFFF"/>
          <w:lang w:val="cs-CZ" w:eastAsia="cs-CZ"/>
        </w:rPr>
        <w:t>FEDu</w:t>
      </w:r>
      <w:proofErr w:type="spellEnd"/>
    </w:p>
    <w:p w14:paraId="3873550A" w14:textId="77777777" w:rsidR="001D4CF8" w:rsidRPr="001D4CF8" w:rsidRDefault="001D4CF8" w:rsidP="001D4CF8">
      <w:pPr>
        <w:spacing w:line="360" w:lineRule="auto"/>
        <w:rPr>
          <w:color w:val="20242B"/>
          <w:shd w:val="clear" w:color="auto" w:fill="FFFFFF"/>
        </w:rPr>
      </w:pPr>
      <w:r w:rsidRPr="001D4CF8">
        <w:rPr>
          <w:color w:val="20242B"/>
          <w:shd w:val="clear" w:color="auto" w:fill="FFFFFF"/>
        </w:rPr>
        <w:t xml:space="preserve">Asijské centrální banky jsou již delší dobu omezovány jestřábím postojem amerického Federálního rezervního systému. Snížením úrokových sazeb by se zvětšil rozdíl mezi nimi a USA a vzrostlo by riziko výprodeje jejich měn. Tato situace se změnila v září, kdy Fed konečně snížil úrokové sazby o 50 bazických bodů. Domníváme se, že s výjimkou Japonska bude většina asijských centrálních bank po snížení ze strany </w:t>
      </w:r>
      <w:proofErr w:type="spellStart"/>
      <w:r w:rsidRPr="001D4CF8">
        <w:rPr>
          <w:color w:val="20242B"/>
          <w:shd w:val="clear" w:color="auto" w:fill="FFFFFF"/>
        </w:rPr>
        <w:t>Fedu</w:t>
      </w:r>
      <w:proofErr w:type="spellEnd"/>
      <w:r w:rsidRPr="001D4CF8">
        <w:rPr>
          <w:color w:val="20242B"/>
          <w:shd w:val="clear" w:color="auto" w:fill="FFFFFF"/>
        </w:rPr>
        <w:t xml:space="preserve"> cítit, že snížení u nich také může projít. Indonésie dokonce mírně předběhla rozhodnutí </w:t>
      </w:r>
      <w:proofErr w:type="spellStart"/>
      <w:r w:rsidRPr="001D4CF8">
        <w:rPr>
          <w:color w:val="20242B"/>
          <w:shd w:val="clear" w:color="auto" w:fill="FFFFFF"/>
        </w:rPr>
        <w:t>Fedu</w:t>
      </w:r>
      <w:proofErr w:type="spellEnd"/>
      <w:r w:rsidRPr="001D4CF8">
        <w:rPr>
          <w:color w:val="20242B"/>
          <w:shd w:val="clear" w:color="auto" w:fill="FFFFFF"/>
        </w:rPr>
        <w:t xml:space="preserve"> a ve stejném týdnu snížila úrokové sazby o 25 bazických bodů na 6 %, což bylo její první snížení sazeb za více než tři roky.</w:t>
      </w:r>
    </w:p>
    <w:p w14:paraId="1020EAF3" w14:textId="77777777" w:rsidR="001D4CF8" w:rsidRPr="001D4CF8" w:rsidRDefault="001D4CF8" w:rsidP="001D4CF8">
      <w:pPr>
        <w:spacing w:line="360" w:lineRule="auto"/>
        <w:rPr>
          <w:color w:val="20242B"/>
          <w:shd w:val="clear" w:color="auto" w:fill="FFFFFF"/>
        </w:rPr>
      </w:pPr>
      <w:r w:rsidRPr="001D4CF8">
        <w:rPr>
          <w:color w:val="20242B"/>
          <w:shd w:val="clear" w:color="auto" w:fill="FFFFFF"/>
        </w:rPr>
        <w:t>Investoři by proto mohli s větší důvěrou navyšovat duraci u vysoce kvalitních dluhopisů, od státních až po dluhopisy investičního stupně. Jakékoli dozvuky bolestí americké ekonomiky budou pravděpodobně citelnější v akciích, kde by mohly utrpět zisky vývozců. Akciový trh má stále co nabídnout, zejména společnosti, které se vezou na vlnách umělé inteligence (AI), přechodu na šetrnou energetiku a změn v dodavatelském řetězci. Klademe ale větší důraz na valuace a bezpečnostní marže u akcií tak, aby odolaly dalším krátkodobým otřesům.</w:t>
      </w:r>
    </w:p>
    <w:p w14:paraId="03AFBFFF" w14:textId="77777777" w:rsidR="001D4CF8" w:rsidRDefault="001D4CF8" w:rsidP="001D4CF8">
      <w:pPr>
        <w:pStyle w:val="FIL3Body"/>
        <w:spacing w:line="360" w:lineRule="auto"/>
        <w:jc w:val="both"/>
        <w:rPr>
          <w:rFonts w:cs="Arial"/>
          <w:color w:val="20242B"/>
          <w:sz w:val="20"/>
          <w:szCs w:val="20"/>
          <w:shd w:val="clear" w:color="auto" w:fill="FFFFFF"/>
          <w:lang w:val="cs-CZ" w:eastAsia="cs-CZ"/>
        </w:rPr>
      </w:pPr>
    </w:p>
    <w:p w14:paraId="318E403C" w14:textId="77777777" w:rsidR="001D4CF8" w:rsidRDefault="001D4CF8" w:rsidP="001D4CF8">
      <w:pPr>
        <w:pStyle w:val="FIL3Body"/>
        <w:spacing w:line="360" w:lineRule="auto"/>
        <w:jc w:val="both"/>
        <w:rPr>
          <w:rFonts w:cs="Arial"/>
          <w:color w:val="20242B"/>
          <w:sz w:val="20"/>
          <w:szCs w:val="20"/>
          <w:shd w:val="clear" w:color="auto" w:fill="FFFFFF"/>
          <w:lang w:val="cs-CZ" w:eastAsia="cs-CZ"/>
        </w:rPr>
      </w:pPr>
    </w:p>
    <w:p w14:paraId="54893CE3" w14:textId="388C49A2" w:rsidR="008A2C50" w:rsidRDefault="008A2C50" w:rsidP="001D4CF8">
      <w:pPr>
        <w:pStyle w:val="FIL3Body"/>
        <w:spacing w:line="360" w:lineRule="auto"/>
        <w:jc w:val="both"/>
        <w:rPr>
          <w:rFonts w:cs="Arial"/>
          <w:b/>
          <w:bCs/>
          <w:color w:val="20242B"/>
          <w:sz w:val="20"/>
          <w:szCs w:val="20"/>
          <w:shd w:val="clear" w:color="auto" w:fill="FFFFFF"/>
          <w:lang w:val="cs-CZ" w:eastAsia="cs-CZ"/>
        </w:rPr>
      </w:pPr>
      <w:r>
        <w:rPr>
          <w:rFonts w:cs="Arial"/>
          <w:b/>
          <w:bCs/>
          <w:color w:val="20242B"/>
          <w:sz w:val="20"/>
          <w:szCs w:val="20"/>
          <w:shd w:val="clear" w:color="auto" w:fill="FFFFFF"/>
          <w:lang w:val="cs-CZ" w:eastAsia="cs-CZ"/>
        </w:rPr>
        <w:t>Graf</w:t>
      </w:r>
      <w:r w:rsidR="00896FD1">
        <w:rPr>
          <w:rFonts w:cs="Arial"/>
          <w:b/>
          <w:bCs/>
          <w:color w:val="20242B"/>
          <w:sz w:val="20"/>
          <w:szCs w:val="20"/>
          <w:shd w:val="clear" w:color="auto" w:fill="FFFFFF"/>
          <w:lang w:val="cs-CZ" w:eastAsia="cs-CZ"/>
        </w:rPr>
        <w:t xml:space="preserve"> 1</w:t>
      </w:r>
      <w:r>
        <w:rPr>
          <w:rFonts w:cs="Arial"/>
          <w:b/>
          <w:bCs/>
          <w:color w:val="20242B"/>
          <w:sz w:val="20"/>
          <w:szCs w:val="20"/>
          <w:shd w:val="clear" w:color="auto" w:fill="FFFFFF"/>
          <w:lang w:val="cs-CZ" w:eastAsia="cs-CZ"/>
        </w:rPr>
        <w:t xml:space="preserve">: </w:t>
      </w:r>
      <w:r w:rsidRPr="008A2C50">
        <w:rPr>
          <w:rFonts w:cs="Arial"/>
          <w:b/>
          <w:bCs/>
          <w:color w:val="20242B"/>
          <w:sz w:val="20"/>
          <w:szCs w:val="20"/>
          <w:shd w:val="clear" w:color="auto" w:fill="FFFFFF"/>
          <w:lang w:val="cs-CZ" w:eastAsia="cs-CZ"/>
        </w:rPr>
        <w:t xml:space="preserve">Rozpětí úrokových sazeb amerického </w:t>
      </w:r>
      <w:proofErr w:type="spellStart"/>
      <w:r w:rsidRPr="008A2C50">
        <w:rPr>
          <w:rFonts w:cs="Arial"/>
          <w:b/>
          <w:bCs/>
          <w:color w:val="20242B"/>
          <w:sz w:val="20"/>
          <w:szCs w:val="20"/>
          <w:shd w:val="clear" w:color="auto" w:fill="FFFFFF"/>
          <w:lang w:val="cs-CZ" w:eastAsia="cs-CZ"/>
        </w:rPr>
        <w:t>Fedu</w:t>
      </w:r>
      <w:proofErr w:type="spellEnd"/>
      <w:r w:rsidRPr="008A2C50">
        <w:rPr>
          <w:rFonts w:cs="Arial"/>
          <w:b/>
          <w:bCs/>
          <w:color w:val="20242B"/>
          <w:sz w:val="20"/>
          <w:szCs w:val="20"/>
          <w:shd w:val="clear" w:color="auto" w:fill="FFFFFF"/>
          <w:lang w:val="cs-CZ" w:eastAsia="cs-CZ"/>
        </w:rPr>
        <w:t xml:space="preserve"> oproti srovnatelným asijským sazbám</w:t>
      </w:r>
    </w:p>
    <w:p w14:paraId="0830DC2D" w14:textId="6309B6EE" w:rsidR="008A2C50" w:rsidRDefault="008A2C50" w:rsidP="001D4CF8">
      <w:pPr>
        <w:pStyle w:val="FIL3Body"/>
        <w:spacing w:line="360" w:lineRule="auto"/>
        <w:jc w:val="both"/>
        <w:rPr>
          <w:rFonts w:cs="Arial"/>
          <w:b/>
          <w:bCs/>
          <w:color w:val="20242B"/>
          <w:sz w:val="20"/>
          <w:szCs w:val="20"/>
          <w:shd w:val="clear" w:color="auto" w:fill="FFFFFF"/>
          <w:lang w:val="cs-CZ" w:eastAsia="cs-CZ"/>
        </w:rPr>
      </w:pPr>
      <w:r w:rsidRPr="008A2C50">
        <w:rPr>
          <w:rFonts w:cs="Arial"/>
          <w:b/>
          <w:bCs/>
          <w:noProof/>
          <w:color w:val="20242B"/>
          <w:sz w:val="20"/>
          <w:szCs w:val="20"/>
          <w:shd w:val="clear" w:color="auto" w:fill="FFFFFF"/>
          <w:lang w:val="cs-CZ" w:eastAsia="cs-CZ"/>
        </w:rPr>
        <w:drawing>
          <wp:inline distT="0" distB="0" distL="0" distR="0" wp14:anchorId="06BBB4E3" wp14:editId="64A89316">
            <wp:extent cx="5759450" cy="3051175"/>
            <wp:effectExtent l="0" t="0" r="0" b="0"/>
            <wp:docPr id="123054085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540855" name=""/>
                    <pic:cNvPicPr/>
                  </pic:nvPicPr>
                  <pic:blipFill>
                    <a:blip r:embed="rId12"/>
                    <a:stretch>
                      <a:fillRect/>
                    </a:stretch>
                  </pic:blipFill>
                  <pic:spPr>
                    <a:xfrm>
                      <a:off x="0" y="0"/>
                      <a:ext cx="5759450" cy="3051175"/>
                    </a:xfrm>
                    <a:prstGeom prst="rect">
                      <a:avLst/>
                    </a:prstGeom>
                  </pic:spPr>
                </pic:pic>
              </a:graphicData>
            </a:graphic>
          </wp:inline>
        </w:drawing>
      </w:r>
    </w:p>
    <w:p w14:paraId="0119C5A8" w14:textId="4C26D26A" w:rsidR="008A2C50" w:rsidRPr="008A2C50" w:rsidRDefault="008A2C50" w:rsidP="008A2C50">
      <w:pPr>
        <w:pStyle w:val="FIL3Body"/>
        <w:spacing w:line="360" w:lineRule="auto"/>
        <w:jc w:val="right"/>
        <w:rPr>
          <w:rFonts w:cs="Arial"/>
          <w:i/>
          <w:iCs/>
          <w:color w:val="20242B"/>
          <w:sz w:val="16"/>
          <w:szCs w:val="16"/>
          <w:shd w:val="clear" w:color="auto" w:fill="FFFFFF"/>
          <w:lang w:val="cs-CZ" w:eastAsia="cs-CZ"/>
        </w:rPr>
      </w:pPr>
      <w:r w:rsidRPr="008A2C50">
        <w:rPr>
          <w:rFonts w:cs="Arial"/>
          <w:i/>
          <w:iCs/>
          <w:color w:val="20242B"/>
          <w:sz w:val="16"/>
          <w:szCs w:val="16"/>
          <w:shd w:val="clear" w:color="auto" w:fill="FFFFFF"/>
          <w:lang w:val="cs-CZ" w:eastAsia="cs-CZ"/>
        </w:rPr>
        <w:t xml:space="preserve">Zdroj: LSEG </w:t>
      </w:r>
      <w:proofErr w:type="spellStart"/>
      <w:r w:rsidRPr="008A2C50">
        <w:rPr>
          <w:rFonts w:cs="Arial"/>
          <w:i/>
          <w:iCs/>
          <w:color w:val="20242B"/>
          <w:sz w:val="16"/>
          <w:szCs w:val="16"/>
          <w:shd w:val="clear" w:color="auto" w:fill="FFFFFF"/>
          <w:lang w:val="cs-CZ" w:eastAsia="cs-CZ"/>
        </w:rPr>
        <w:t>Datastream</w:t>
      </w:r>
      <w:proofErr w:type="spellEnd"/>
      <w:r w:rsidRPr="008A2C50">
        <w:rPr>
          <w:rFonts w:cs="Arial"/>
          <w:i/>
          <w:iCs/>
          <w:color w:val="20242B"/>
          <w:sz w:val="16"/>
          <w:szCs w:val="16"/>
          <w:shd w:val="clear" w:color="auto" w:fill="FFFFFF"/>
          <w:lang w:val="cs-CZ" w:eastAsia="cs-CZ"/>
        </w:rPr>
        <w:t xml:space="preserve">, </w:t>
      </w:r>
      <w:proofErr w:type="spellStart"/>
      <w:r w:rsidRPr="008A2C50">
        <w:rPr>
          <w:rFonts w:cs="Arial"/>
          <w:i/>
          <w:iCs/>
          <w:color w:val="20242B"/>
          <w:sz w:val="16"/>
          <w:szCs w:val="16"/>
          <w:shd w:val="clear" w:color="auto" w:fill="FFFFFF"/>
          <w:lang w:val="cs-CZ" w:eastAsia="cs-CZ"/>
        </w:rPr>
        <w:t>Fidelity</w:t>
      </w:r>
      <w:proofErr w:type="spellEnd"/>
      <w:r w:rsidRPr="008A2C50">
        <w:rPr>
          <w:rFonts w:cs="Arial"/>
          <w:i/>
          <w:iCs/>
          <w:color w:val="20242B"/>
          <w:sz w:val="16"/>
          <w:szCs w:val="16"/>
          <w:shd w:val="clear" w:color="auto" w:fill="FFFFFF"/>
          <w:lang w:val="cs-CZ" w:eastAsia="cs-CZ"/>
        </w:rPr>
        <w:t xml:space="preserve"> International, září 2024.</w:t>
      </w:r>
    </w:p>
    <w:p w14:paraId="37FF2D64" w14:textId="7CB2057B" w:rsidR="001D4CF8" w:rsidRPr="001D4CF8" w:rsidRDefault="001D4CF8" w:rsidP="001D4CF8">
      <w:pPr>
        <w:pStyle w:val="FIL3Body"/>
        <w:spacing w:line="360" w:lineRule="auto"/>
        <w:jc w:val="both"/>
        <w:rPr>
          <w:rFonts w:cs="Arial"/>
          <w:b/>
          <w:bCs/>
          <w:color w:val="20242B"/>
          <w:sz w:val="20"/>
          <w:szCs w:val="20"/>
          <w:shd w:val="clear" w:color="auto" w:fill="FFFFFF"/>
          <w:lang w:val="cs-CZ" w:eastAsia="cs-CZ"/>
        </w:rPr>
      </w:pPr>
      <w:r w:rsidRPr="001D4CF8">
        <w:rPr>
          <w:rFonts w:cs="Arial"/>
          <w:b/>
          <w:bCs/>
          <w:color w:val="20242B"/>
          <w:sz w:val="20"/>
          <w:szCs w:val="20"/>
          <w:shd w:val="clear" w:color="auto" w:fill="FFFFFF"/>
          <w:lang w:val="cs-CZ" w:eastAsia="cs-CZ"/>
        </w:rPr>
        <w:t>Zpomalte!</w:t>
      </w:r>
    </w:p>
    <w:p w14:paraId="61CCA50E" w14:textId="77777777" w:rsidR="001D4CF8" w:rsidRPr="001D4CF8" w:rsidRDefault="001D4CF8" w:rsidP="001D4CF8">
      <w:pPr>
        <w:pStyle w:val="FIL3Body"/>
        <w:spacing w:line="360" w:lineRule="auto"/>
        <w:jc w:val="both"/>
        <w:rPr>
          <w:rFonts w:cs="Arial"/>
          <w:color w:val="20242B"/>
          <w:sz w:val="20"/>
          <w:szCs w:val="20"/>
          <w:shd w:val="clear" w:color="auto" w:fill="FFFFFF"/>
          <w:lang w:val="cs-CZ" w:eastAsia="cs-CZ"/>
        </w:rPr>
      </w:pPr>
      <w:r w:rsidRPr="001D4CF8">
        <w:rPr>
          <w:rFonts w:cs="Arial"/>
          <w:color w:val="20242B"/>
          <w:sz w:val="20"/>
          <w:szCs w:val="20"/>
          <w:shd w:val="clear" w:color="auto" w:fill="FFFFFF"/>
          <w:lang w:val="cs-CZ" w:eastAsia="cs-CZ"/>
        </w:rPr>
        <w:t xml:space="preserve">Výkonnost Asie samozřejmě závisí na Číně a Japonsku, dvou největších ekonomikách v regionu. Čína se snaží získat </w:t>
      </w:r>
      <w:proofErr w:type="spellStart"/>
      <w:r w:rsidRPr="001D4CF8">
        <w:rPr>
          <w:rFonts w:cs="Arial"/>
          <w:color w:val="20242B"/>
          <w:sz w:val="20"/>
          <w:szCs w:val="20"/>
          <w:shd w:val="clear" w:color="auto" w:fill="FFFFFF"/>
          <w:lang w:val="cs-CZ" w:eastAsia="cs-CZ"/>
        </w:rPr>
        <w:t>momentum</w:t>
      </w:r>
      <w:proofErr w:type="spellEnd"/>
      <w:r w:rsidRPr="001D4CF8">
        <w:rPr>
          <w:rFonts w:cs="Arial"/>
          <w:color w:val="20242B"/>
          <w:sz w:val="20"/>
          <w:szCs w:val="20"/>
          <w:shd w:val="clear" w:color="auto" w:fill="FFFFFF"/>
          <w:lang w:val="cs-CZ" w:eastAsia="cs-CZ"/>
        </w:rPr>
        <w:t xml:space="preserve"> s tím, že spotřebitelé a kupci nemovitostí zůstávají opatrní. Do konce roku zbývají pouhé tři měsíce a vypadá, že cíl zhruba pětiprocentního meziročního růstu HDP v zemi půjde složitě splnit. Snížili jsme proto pravděpodobnost našeho základního scénáře „řízené stabilizace“ (z 65 na 55 %) a zvýšili jsme riziko vážného zpomalení (na 35 %). Reflace zůstává vzdálenou možností (na úrovni 10 %).</w:t>
      </w:r>
    </w:p>
    <w:p w14:paraId="5A1445F8" w14:textId="77777777" w:rsidR="001D4CF8" w:rsidRPr="001D4CF8" w:rsidRDefault="001D4CF8" w:rsidP="001D4CF8">
      <w:pPr>
        <w:spacing w:line="360" w:lineRule="auto"/>
        <w:rPr>
          <w:color w:val="20242B"/>
          <w:shd w:val="clear" w:color="auto" w:fill="FFFFFF"/>
        </w:rPr>
      </w:pPr>
      <w:r w:rsidRPr="001D4CF8">
        <w:rPr>
          <w:color w:val="20242B"/>
          <w:shd w:val="clear" w:color="auto" w:fill="FFFFFF"/>
        </w:rPr>
        <w:t xml:space="preserve">Stát se usilovně snaží obnovit důvěru. V září Čína snížila hranici pro akontaci při nákupu bydlení, také snížila úrokové sazby a slíbila zajistit větší likviditu na akciovém trhu. I když stále nenabízí výrazné stimuly, tato opatření zdůrazňují zaměření úředníků na domácí poptávku, což podporuje náladu na trhu. Úrokové sazby „nižší po delší dobu“ – které i po očištění o inflaci zůstávají kladné – drží v chodu </w:t>
      </w:r>
      <w:proofErr w:type="spellStart"/>
      <w:r w:rsidRPr="001D4CF8">
        <w:rPr>
          <w:color w:val="20242B"/>
          <w:shd w:val="clear" w:color="auto" w:fill="FFFFFF"/>
        </w:rPr>
        <w:t>rally</w:t>
      </w:r>
      <w:proofErr w:type="spellEnd"/>
      <w:r w:rsidRPr="001D4CF8">
        <w:rPr>
          <w:color w:val="20242B"/>
          <w:shd w:val="clear" w:color="auto" w:fill="FFFFFF"/>
        </w:rPr>
        <w:t xml:space="preserve"> čínských dluhopisů. V případě akcií lépe odolávají defenzivní sektory, jako jsou banky a veřejné služby. Další změny by mohly přijít na říjnovém zasedání politbyra nebo na </w:t>
      </w:r>
      <w:proofErr w:type="spellStart"/>
      <w:r w:rsidRPr="001D4CF8">
        <w:rPr>
          <w:color w:val="20242B"/>
          <w:shd w:val="clear" w:color="auto" w:fill="FFFFFF"/>
        </w:rPr>
        <w:t>Central</w:t>
      </w:r>
      <w:proofErr w:type="spellEnd"/>
      <w:r w:rsidRPr="001D4CF8">
        <w:rPr>
          <w:color w:val="20242B"/>
          <w:shd w:val="clear" w:color="auto" w:fill="FFFFFF"/>
        </w:rPr>
        <w:t xml:space="preserve"> </w:t>
      </w:r>
      <w:proofErr w:type="spellStart"/>
      <w:r w:rsidRPr="001D4CF8">
        <w:rPr>
          <w:color w:val="20242B"/>
          <w:shd w:val="clear" w:color="auto" w:fill="FFFFFF"/>
        </w:rPr>
        <w:t>Economic</w:t>
      </w:r>
      <w:proofErr w:type="spellEnd"/>
      <w:r w:rsidRPr="001D4CF8">
        <w:rPr>
          <w:color w:val="20242B"/>
          <w:shd w:val="clear" w:color="auto" w:fill="FFFFFF"/>
        </w:rPr>
        <w:t xml:space="preserve"> </w:t>
      </w:r>
      <w:proofErr w:type="spellStart"/>
      <w:r w:rsidRPr="001D4CF8">
        <w:rPr>
          <w:color w:val="20242B"/>
          <w:shd w:val="clear" w:color="auto" w:fill="FFFFFF"/>
        </w:rPr>
        <w:t>Work</w:t>
      </w:r>
      <w:proofErr w:type="spellEnd"/>
      <w:r w:rsidRPr="001D4CF8">
        <w:rPr>
          <w:color w:val="20242B"/>
          <w:shd w:val="clear" w:color="auto" w:fill="FFFFFF"/>
        </w:rPr>
        <w:t xml:space="preserve"> </w:t>
      </w:r>
      <w:proofErr w:type="spellStart"/>
      <w:r w:rsidRPr="001D4CF8">
        <w:rPr>
          <w:color w:val="20242B"/>
          <w:shd w:val="clear" w:color="auto" w:fill="FFFFFF"/>
        </w:rPr>
        <w:t>Conference</w:t>
      </w:r>
      <w:proofErr w:type="spellEnd"/>
      <w:r w:rsidRPr="001D4CF8">
        <w:rPr>
          <w:color w:val="20242B"/>
          <w:shd w:val="clear" w:color="auto" w:fill="FFFFFF"/>
        </w:rPr>
        <w:t xml:space="preserve"> koncem roku. Neočekávejte však drastické politické změny, když na finanční trhy doléhají vnější nejistoty, jako jsou třeba volby v USA.</w:t>
      </w:r>
    </w:p>
    <w:p w14:paraId="5E8D0AED" w14:textId="77777777" w:rsidR="001D4CF8" w:rsidRPr="001D4CF8" w:rsidRDefault="001D4CF8" w:rsidP="001D4CF8">
      <w:pPr>
        <w:spacing w:line="360" w:lineRule="auto"/>
        <w:rPr>
          <w:color w:val="20242B"/>
          <w:shd w:val="clear" w:color="auto" w:fill="FFFFFF"/>
        </w:rPr>
      </w:pPr>
      <w:r w:rsidRPr="001D4CF8">
        <w:rPr>
          <w:color w:val="20242B"/>
          <w:shd w:val="clear" w:color="auto" w:fill="FFFFFF"/>
        </w:rPr>
        <w:t xml:space="preserve">Japonsko se vymanilo z deflační pasti a nyní se naopak brání inflaci, která by se měla v příštím roce udržet nad dvouprocentním cílem Bank </w:t>
      </w:r>
      <w:proofErr w:type="spellStart"/>
      <w:r w:rsidRPr="001D4CF8">
        <w:rPr>
          <w:color w:val="20242B"/>
          <w:shd w:val="clear" w:color="auto" w:fill="FFFFFF"/>
        </w:rPr>
        <w:t>of</w:t>
      </w:r>
      <w:proofErr w:type="spellEnd"/>
      <w:r w:rsidRPr="001D4CF8">
        <w:rPr>
          <w:color w:val="20242B"/>
          <w:shd w:val="clear" w:color="auto" w:fill="FFFFFF"/>
        </w:rPr>
        <w:t xml:space="preserve"> Japan. To by mělo dodat BOJ důvěru k postupnému zvyšování sazeb v nadcházejících čtvrtletích a přiblížit zemi ke kladným reálným sazbám.  Reakce trhu na červencové zvýšení úrokových sazeb centrální bankou o 15 bazických bodů, která byla značně volatilní, by se nyní mohla uklidnit. Nezvrátí však asi vývoj japonských úrokových sazeb. U akcií budou </w:t>
      </w:r>
      <w:r w:rsidRPr="001D4CF8">
        <w:rPr>
          <w:color w:val="20242B"/>
          <w:shd w:val="clear" w:color="auto" w:fill="FFFFFF"/>
        </w:rPr>
        <w:lastRenderedPageBreak/>
        <w:t xml:space="preserve">pravděpodobně dohánět ztráty menší společnosti, které v uplynulém roce tolik netěžily z </w:t>
      </w:r>
      <w:proofErr w:type="spellStart"/>
      <w:r w:rsidRPr="001D4CF8">
        <w:rPr>
          <w:color w:val="20242B"/>
          <w:shd w:val="clear" w:color="auto" w:fill="FFFFFF"/>
        </w:rPr>
        <w:t>rally</w:t>
      </w:r>
      <w:proofErr w:type="spellEnd"/>
      <w:r w:rsidRPr="001D4CF8">
        <w:rPr>
          <w:color w:val="20242B"/>
          <w:shd w:val="clear" w:color="auto" w:fill="FFFFFF"/>
        </w:rPr>
        <w:t>. Jakýkoli posun v obchodní politice USA by však mohl mít dopad na Japonsko, zatímco výměna premiéra by mohla představovat další riziko pro domácí trhy.</w:t>
      </w:r>
    </w:p>
    <w:p w14:paraId="66D5F04D" w14:textId="777CB270" w:rsidR="00896FD1" w:rsidRDefault="00896FD1" w:rsidP="00896FD1">
      <w:pPr>
        <w:pStyle w:val="FIL3Body"/>
        <w:spacing w:line="360" w:lineRule="auto"/>
        <w:jc w:val="both"/>
        <w:rPr>
          <w:rFonts w:cs="Arial"/>
          <w:b/>
          <w:bCs/>
          <w:color w:val="20242B"/>
          <w:sz w:val="20"/>
          <w:szCs w:val="20"/>
          <w:shd w:val="clear" w:color="auto" w:fill="FFFFFF"/>
          <w:lang w:val="cs-CZ" w:eastAsia="cs-CZ"/>
        </w:rPr>
      </w:pPr>
      <w:r>
        <w:rPr>
          <w:rFonts w:cs="Arial"/>
          <w:b/>
          <w:bCs/>
          <w:color w:val="20242B"/>
          <w:sz w:val="20"/>
          <w:szCs w:val="20"/>
          <w:shd w:val="clear" w:color="auto" w:fill="FFFFFF"/>
          <w:lang w:val="cs-CZ" w:eastAsia="cs-CZ"/>
        </w:rPr>
        <w:br/>
        <w:t xml:space="preserve">Graf 2: </w:t>
      </w:r>
      <w:r w:rsidRPr="00896FD1">
        <w:rPr>
          <w:rFonts w:cs="Arial"/>
          <w:b/>
          <w:bCs/>
          <w:color w:val="20242B"/>
          <w:sz w:val="20"/>
          <w:szCs w:val="20"/>
          <w:shd w:val="clear" w:color="auto" w:fill="FFFFFF"/>
          <w:lang w:val="cs-CZ" w:eastAsia="cs-CZ"/>
        </w:rPr>
        <w:t xml:space="preserve">Preference čínských vkladatelů v průzkumu </w:t>
      </w:r>
      <w:proofErr w:type="spellStart"/>
      <w:r w:rsidRPr="00896FD1">
        <w:rPr>
          <w:rFonts w:cs="Arial"/>
          <w:b/>
          <w:bCs/>
          <w:color w:val="20242B"/>
          <w:sz w:val="20"/>
          <w:szCs w:val="20"/>
          <w:shd w:val="clear" w:color="auto" w:fill="FFFFFF"/>
          <w:lang w:val="cs-CZ" w:eastAsia="cs-CZ"/>
        </w:rPr>
        <w:t>People´s</w:t>
      </w:r>
      <w:proofErr w:type="spellEnd"/>
      <w:r w:rsidRPr="00896FD1">
        <w:rPr>
          <w:rFonts w:cs="Arial"/>
          <w:b/>
          <w:bCs/>
          <w:color w:val="20242B"/>
          <w:sz w:val="20"/>
          <w:szCs w:val="20"/>
          <w:shd w:val="clear" w:color="auto" w:fill="FFFFFF"/>
          <w:lang w:val="cs-CZ" w:eastAsia="cs-CZ"/>
        </w:rPr>
        <w:t xml:space="preserve"> Bank </w:t>
      </w:r>
      <w:proofErr w:type="spellStart"/>
      <w:r w:rsidRPr="00896FD1">
        <w:rPr>
          <w:rFonts w:cs="Arial"/>
          <w:b/>
          <w:bCs/>
          <w:color w:val="20242B"/>
          <w:sz w:val="20"/>
          <w:szCs w:val="20"/>
          <w:shd w:val="clear" w:color="auto" w:fill="FFFFFF"/>
          <w:lang w:val="cs-CZ" w:eastAsia="cs-CZ"/>
        </w:rPr>
        <w:t>of</w:t>
      </w:r>
      <w:proofErr w:type="spellEnd"/>
      <w:r w:rsidRPr="00896FD1">
        <w:rPr>
          <w:rFonts w:cs="Arial"/>
          <w:b/>
          <w:bCs/>
          <w:color w:val="20242B"/>
          <w:sz w:val="20"/>
          <w:szCs w:val="20"/>
          <w:shd w:val="clear" w:color="auto" w:fill="FFFFFF"/>
          <w:lang w:val="cs-CZ" w:eastAsia="cs-CZ"/>
        </w:rPr>
        <w:t xml:space="preserve"> </w:t>
      </w:r>
      <w:proofErr w:type="spellStart"/>
      <w:r w:rsidRPr="00896FD1">
        <w:rPr>
          <w:rFonts w:cs="Arial"/>
          <w:b/>
          <w:bCs/>
          <w:color w:val="20242B"/>
          <w:sz w:val="20"/>
          <w:szCs w:val="20"/>
          <w:shd w:val="clear" w:color="auto" w:fill="FFFFFF"/>
          <w:lang w:val="cs-CZ" w:eastAsia="cs-CZ"/>
        </w:rPr>
        <w:t>China</w:t>
      </w:r>
      <w:proofErr w:type="spellEnd"/>
    </w:p>
    <w:p w14:paraId="43C74B2A" w14:textId="77777777" w:rsidR="00896FD1" w:rsidRDefault="00896FD1" w:rsidP="001D4CF8">
      <w:pPr>
        <w:pStyle w:val="FIL3Body"/>
        <w:spacing w:line="360" w:lineRule="auto"/>
        <w:jc w:val="both"/>
        <w:rPr>
          <w:rFonts w:cs="Arial"/>
          <w:b/>
          <w:bCs/>
          <w:color w:val="20242B"/>
          <w:sz w:val="20"/>
          <w:szCs w:val="20"/>
          <w:shd w:val="clear" w:color="auto" w:fill="FFFFFF"/>
          <w:lang w:val="cs-CZ" w:eastAsia="cs-CZ"/>
        </w:rPr>
      </w:pPr>
      <w:r w:rsidRPr="00896FD1">
        <w:rPr>
          <w:rFonts w:cs="Arial"/>
          <w:b/>
          <w:bCs/>
          <w:noProof/>
          <w:color w:val="20242B"/>
          <w:sz w:val="20"/>
          <w:szCs w:val="20"/>
          <w:shd w:val="clear" w:color="auto" w:fill="FFFFFF"/>
          <w:lang w:val="cs-CZ" w:eastAsia="cs-CZ"/>
        </w:rPr>
        <w:drawing>
          <wp:inline distT="0" distB="0" distL="0" distR="0" wp14:anchorId="450B3BE1" wp14:editId="4B47E997">
            <wp:extent cx="5759450" cy="3020695"/>
            <wp:effectExtent l="0" t="0" r="0" b="8255"/>
            <wp:docPr id="14118295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82958" name=""/>
                    <pic:cNvPicPr/>
                  </pic:nvPicPr>
                  <pic:blipFill>
                    <a:blip r:embed="rId13"/>
                    <a:stretch>
                      <a:fillRect/>
                    </a:stretch>
                  </pic:blipFill>
                  <pic:spPr>
                    <a:xfrm>
                      <a:off x="0" y="0"/>
                      <a:ext cx="5759450" cy="3020695"/>
                    </a:xfrm>
                    <a:prstGeom prst="rect">
                      <a:avLst/>
                    </a:prstGeom>
                  </pic:spPr>
                </pic:pic>
              </a:graphicData>
            </a:graphic>
          </wp:inline>
        </w:drawing>
      </w:r>
    </w:p>
    <w:p w14:paraId="74F2E658" w14:textId="17B3F377" w:rsidR="001A6B3C" w:rsidRPr="001A6B3C" w:rsidRDefault="004D79D4" w:rsidP="001A6B3C">
      <w:pPr>
        <w:pStyle w:val="FIL3Body"/>
        <w:spacing w:line="360" w:lineRule="auto"/>
        <w:jc w:val="right"/>
        <w:rPr>
          <w:rFonts w:cs="Arial"/>
          <w:i/>
          <w:iCs/>
          <w:color w:val="20242B"/>
          <w:sz w:val="16"/>
          <w:szCs w:val="16"/>
          <w:shd w:val="clear" w:color="auto" w:fill="FFFFFF"/>
          <w:lang w:val="cs-CZ" w:eastAsia="cs-CZ"/>
        </w:rPr>
      </w:pPr>
      <w:proofErr w:type="spellStart"/>
      <w:r>
        <w:rPr>
          <w:rFonts w:cs="Arial"/>
          <w:i/>
          <w:iCs/>
          <w:color w:val="20242B"/>
          <w:sz w:val="16"/>
          <w:szCs w:val="16"/>
          <w:shd w:val="clear" w:color="auto" w:fill="FFFFFF"/>
          <w:lang w:val="cs-CZ" w:eastAsia="cs-CZ"/>
        </w:rPr>
        <w:t>Quelle</w:t>
      </w:r>
      <w:proofErr w:type="spellEnd"/>
      <w:r>
        <w:rPr>
          <w:rFonts w:cs="Arial"/>
          <w:i/>
          <w:iCs/>
          <w:color w:val="20242B"/>
          <w:sz w:val="16"/>
          <w:szCs w:val="16"/>
          <w:shd w:val="clear" w:color="auto" w:fill="FFFFFF"/>
          <w:lang w:val="cs-CZ" w:eastAsia="cs-CZ"/>
        </w:rPr>
        <w:t xml:space="preserve"> </w:t>
      </w:r>
      <w:proofErr w:type="spellStart"/>
      <w:r>
        <w:rPr>
          <w:rFonts w:cs="Arial"/>
          <w:i/>
          <w:iCs/>
          <w:color w:val="20242B"/>
          <w:sz w:val="16"/>
          <w:szCs w:val="16"/>
          <w:shd w:val="clear" w:color="auto" w:fill="FFFFFF"/>
          <w:lang w:val="cs-CZ" w:eastAsia="cs-CZ"/>
        </w:rPr>
        <w:t>Wind</w:t>
      </w:r>
      <w:proofErr w:type="spellEnd"/>
      <w:r>
        <w:rPr>
          <w:rFonts w:cs="Arial"/>
          <w:i/>
          <w:iCs/>
          <w:color w:val="20242B"/>
          <w:sz w:val="16"/>
          <w:szCs w:val="16"/>
          <w:shd w:val="clear" w:color="auto" w:fill="FFFFFF"/>
          <w:lang w:val="cs-CZ" w:eastAsia="cs-CZ"/>
        </w:rPr>
        <w:t>,</w:t>
      </w:r>
      <w:r w:rsidR="00896FD1" w:rsidRPr="001A6B3C">
        <w:rPr>
          <w:rFonts w:cs="Arial"/>
          <w:i/>
          <w:iCs/>
          <w:color w:val="20242B"/>
          <w:sz w:val="16"/>
          <w:szCs w:val="16"/>
          <w:shd w:val="clear" w:color="auto" w:fill="FFFFFF"/>
          <w:lang w:val="cs-CZ" w:eastAsia="cs-CZ"/>
        </w:rPr>
        <w:t xml:space="preserve"> </w:t>
      </w:r>
      <w:proofErr w:type="spellStart"/>
      <w:r w:rsidR="00896FD1" w:rsidRPr="001A6B3C">
        <w:rPr>
          <w:rFonts w:cs="Arial"/>
          <w:i/>
          <w:iCs/>
          <w:color w:val="20242B"/>
          <w:sz w:val="16"/>
          <w:szCs w:val="16"/>
          <w:shd w:val="clear" w:color="auto" w:fill="FFFFFF"/>
          <w:lang w:val="cs-CZ" w:eastAsia="cs-CZ"/>
        </w:rPr>
        <w:t>Fidelity</w:t>
      </w:r>
      <w:proofErr w:type="spellEnd"/>
      <w:r w:rsidR="00896FD1" w:rsidRPr="001A6B3C">
        <w:rPr>
          <w:rFonts w:cs="Arial"/>
          <w:i/>
          <w:iCs/>
          <w:color w:val="20242B"/>
          <w:sz w:val="16"/>
          <w:szCs w:val="16"/>
          <w:shd w:val="clear" w:color="auto" w:fill="FFFFFF"/>
          <w:lang w:val="cs-CZ" w:eastAsia="cs-CZ"/>
        </w:rPr>
        <w:t xml:space="preserve"> International, září 2024. Čtvrtletní průzkum </w:t>
      </w:r>
      <w:r>
        <w:rPr>
          <w:rFonts w:cs="Arial"/>
          <w:i/>
          <w:iCs/>
          <w:color w:val="20242B"/>
          <w:sz w:val="16"/>
          <w:szCs w:val="16"/>
          <w:shd w:val="clear" w:color="auto" w:fill="FFFFFF"/>
          <w:lang w:val="cs-CZ" w:eastAsia="cs-CZ"/>
        </w:rPr>
        <w:t>u</w:t>
      </w:r>
      <w:r w:rsidR="001A6B3C" w:rsidRPr="001A6B3C">
        <w:rPr>
          <w:rFonts w:cs="Arial"/>
          <w:i/>
          <w:iCs/>
          <w:color w:val="20242B"/>
          <w:sz w:val="16"/>
          <w:szCs w:val="16"/>
          <w:shd w:val="clear" w:color="auto" w:fill="FFFFFF"/>
          <w:lang w:val="cs-CZ" w:eastAsia="cs-CZ"/>
        </w:rPr>
        <w:t>kladatelů v městských oblastech.</w:t>
      </w:r>
    </w:p>
    <w:p w14:paraId="03B420B0" w14:textId="774D8BA3" w:rsidR="006C3B12" w:rsidRPr="001D4CF8" w:rsidRDefault="001D4CF8" w:rsidP="001D4CF8">
      <w:pPr>
        <w:pStyle w:val="FIL3Body"/>
        <w:spacing w:line="360" w:lineRule="auto"/>
        <w:jc w:val="both"/>
        <w:rPr>
          <w:rFonts w:cs="Arial"/>
          <w:b/>
          <w:bCs/>
          <w:color w:val="20242B"/>
          <w:sz w:val="20"/>
          <w:szCs w:val="20"/>
          <w:shd w:val="clear" w:color="auto" w:fill="FFFFFF"/>
          <w:lang w:val="cs-CZ" w:eastAsia="cs-CZ"/>
        </w:rPr>
      </w:pPr>
      <w:r>
        <w:rPr>
          <w:rFonts w:cs="Arial"/>
          <w:b/>
          <w:bCs/>
          <w:color w:val="20242B"/>
          <w:sz w:val="20"/>
          <w:szCs w:val="20"/>
          <w:shd w:val="clear" w:color="auto" w:fill="FFFFFF"/>
          <w:lang w:val="cs-CZ" w:eastAsia="cs-CZ"/>
        </w:rPr>
        <w:br/>
      </w:r>
      <w:r w:rsidRPr="001D4CF8">
        <w:rPr>
          <w:rFonts w:cs="Arial"/>
          <w:b/>
          <w:bCs/>
          <w:color w:val="20242B"/>
          <w:sz w:val="20"/>
          <w:szCs w:val="20"/>
          <w:shd w:val="clear" w:color="auto" w:fill="FFFFFF"/>
          <w:lang w:val="cs-CZ" w:eastAsia="cs-CZ"/>
        </w:rPr>
        <w:t>Strukturální příhody</w:t>
      </w:r>
    </w:p>
    <w:p w14:paraId="2D1F5C00" w14:textId="77777777" w:rsidR="001D4CF8" w:rsidRPr="001D4CF8" w:rsidRDefault="001D4CF8" w:rsidP="001D4CF8">
      <w:pPr>
        <w:pStyle w:val="F2-zkladn"/>
        <w:spacing w:line="360" w:lineRule="auto"/>
      </w:pPr>
      <w:r w:rsidRPr="001D4CF8">
        <w:t>Příslib strukturálních sil, které podpoří Asii, je reálný, od „demografické dividendy“ v Indii a jihovýchodní Asii, až po nástup umělé inteligence a energetickou transformaci. S tím, jak trhy stále více vnímají krátkodobá rizika však očekáváme větší kontrolu těchto strukturálních sil. To jsme již viděli v případě umělé inteligence, kdy se investoři odvrátili od Tchaj-wanu a Koreje, kde se vyrábějí polovodiče, k trhům Asie, které očekávají bezprostřednější podporu ze strany měnové politiky.</w:t>
      </w:r>
    </w:p>
    <w:p w14:paraId="752811FF" w14:textId="77777777" w:rsidR="001D4CF8" w:rsidRPr="001D4CF8" w:rsidRDefault="001D4CF8" w:rsidP="001D4CF8">
      <w:pPr>
        <w:pStyle w:val="F2-zkladn"/>
        <w:spacing w:line="360" w:lineRule="auto"/>
      </w:pPr>
      <w:r w:rsidRPr="001D4CF8">
        <w:t xml:space="preserve">S nadějí sledujeme dlouhodobé vyhlídky Indie. Má slušné fundamenty a tempo růstu – podle letošní prognózy na 7 % - což není k zahození. Po delší rallye však mohou být valuace v některých oblastech akciového trhu příliš horké. V pozadí se skrývá riziko plynoucí z odeznívajícího </w:t>
      </w:r>
      <w:proofErr w:type="spellStart"/>
      <w:r w:rsidRPr="001D4CF8">
        <w:t>carry</w:t>
      </w:r>
      <w:proofErr w:type="spellEnd"/>
      <w:r w:rsidRPr="001D4CF8">
        <w:t xml:space="preserve"> </w:t>
      </w:r>
      <w:proofErr w:type="spellStart"/>
      <w:r w:rsidRPr="001D4CF8">
        <w:t>trade</w:t>
      </w:r>
      <w:proofErr w:type="spellEnd"/>
      <w:r w:rsidRPr="001D4CF8">
        <w:t xml:space="preserve"> jenu, s tím, jak spekulanti opouštějí oblíbené – a přeplněné – akciové trhy. Výhled pro indické dluhopisy může být příznivější díky jejich přidání se ke globálním benchmarkům a kladným reálným úrokovým sazbám.</w:t>
      </w:r>
    </w:p>
    <w:p w14:paraId="1916E936" w14:textId="77777777" w:rsidR="001D4CF8" w:rsidRPr="006C3B12" w:rsidRDefault="001D4CF8" w:rsidP="006C3B12">
      <w:pPr>
        <w:pStyle w:val="F2-zkladn"/>
      </w:pPr>
    </w:p>
    <w:p w14:paraId="1949B84A" w14:textId="55C844F2" w:rsidR="006F508D" w:rsidRDefault="006F508D" w:rsidP="002027ED">
      <w:pPr>
        <w:spacing w:before="0" w:line="240" w:lineRule="atLeast"/>
        <w:rPr>
          <w:b/>
        </w:rPr>
      </w:pPr>
    </w:p>
    <w:p w14:paraId="79C0EF45" w14:textId="77777777" w:rsidR="00B14448" w:rsidRDefault="006F508D" w:rsidP="002027ED">
      <w:pPr>
        <w:spacing w:before="0" w:line="240" w:lineRule="atLeast"/>
        <w:rPr>
          <w:b/>
        </w:rPr>
      </w:pPr>
      <w:r w:rsidRPr="00455A3C">
        <w:rPr>
          <w:b/>
        </w:rPr>
        <w:t>Pro více informací kontaktujte:</w:t>
      </w:r>
    </w:p>
    <w:p w14:paraId="57E4691D" w14:textId="79A81523" w:rsidR="00725052" w:rsidRDefault="00725052" w:rsidP="002027ED">
      <w:pPr>
        <w:spacing w:before="0" w:line="240" w:lineRule="atLeast"/>
        <w:rPr>
          <w:b/>
        </w:rPr>
      </w:pPr>
      <w:r>
        <w:rPr>
          <w:b/>
        </w:rPr>
        <w:t>Eliška Krohová</w:t>
      </w:r>
    </w:p>
    <w:p w14:paraId="70A16562" w14:textId="14B99F34"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ABB575C" w14:textId="41FADA76" w:rsidR="00725052" w:rsidRPr="00455A3C" w:rsidRDefault="00725052" w:rsidP="002027ED">
      <w:pPr>
        <w:spacing w:before="0" w:line="240" w:lineRule="atLeast"/>
      </w:pPr>
    </w:p>
    <w:p w14:paraId="001360E2" w14:textId="430BBD89" w:rsidR="00725052" w:rsidRPr="00455A3C" w:rsidRDefault="00725052" w:rsidP="002027ED">
      <w:pPr>
        <w:spacing w:before="0" w:line="240" w:lineRule="atLeast"/>
      </w:pPr>
      <w:r w:rsidRPr="00455A3C">
        <w:t>Ostrovní 126/30</w:t>
      </w:r>
    </w:p>
    <w:p w14:paraId="02786658" w14:textId="0E6E6510" w:rsidR="00725052" w:rsidRPr="00455A3C" w:rsidRDefault="00725052" w:rsidP="002027ED">
      <w:pPr>
        <w:spacing w:before="0" w:line="240" w:lineRule="atLeast"/>
      </w:pPr>
      <w:r w:rsidRPr="00455A3C">
        <w:lastRenderedPageBreak/>
        <w:t>110 00 Praha 1</w:t>
      </w:r>
    </w:p>
    <w:p w14:paraId="5FFADFD6" w14:textId="77777777" w:rsidR="00725052" w:rsidRPr="00455A3C" w:rsidRDefault="00725052" w:rsidP="002027ED">
      <w:pPr>
        <w:spacing w:before="0" w:line="240" w:lineRule="atLeast"/>
      </w:pPr>
      <w:proofErr w:type="spellStart"/>
      <w:r>
        <w:t>gsm</w:t>
      </w:r>
      <w:proofErr w:type="spellEnd"/>
      <w:r>
        <w:t>: + 420 720 406 659</w:t>
      </w:r>
    </w:p>
    <w:p w14:paraId="366A0022" w14:textId="77777777" w:rsidR="000E2910" w:rsidRDefault="00725052" w:rsidP="002027ED">
      <w:pPr>
        <w:spacing w:before="0" w:line="240" w:lineRule="atLeast"/>
        <w:rPr>
          <w:rStyle w:val="Hypertextovodkaz"/>
        </w:rPr>
      </w:pPr>
      <w:r w:rsidRPr="00455A3C">
        <w:rPr>
          <w:color w:val="000000"/>
        </w:rPr>
        <w:t xml:space="preserve">e-mail: </w:t>
      </w:r>
      <w:hyperlink r:id="rId14" w:history="1">
        <w:r w:rsidRPr="00E23FD4">
          <w:rPr>
            <w:rStyle w:val="Hypertextovodkaz"/>
          </w:rPr>
          <w:t>eliska.krohova@crestcom.cz</w:t>
        </w:r>
      </w:hyperlink>
    </w:p>
    <w:p w14:paraId="1B93F57D" w14:textId="77777777" w:rsidR="005A5AB1" w:rsidRPr="005A5AB1" w:rsidRDefault="005A5AB1" w:rsidP="002027ED">
      <w:pPr>
        <w:pStyle w:val="F2-zkladn"/>
      </w:pPr>
    </w:p>
    <w:p w14:paraId="163D8DC9"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52751589" w14:textId="77777777" w:rsidR="006E78BA" w:rsidRPr="0015633B" w:rsidRDefault="00D404D5" w:rsidP="0015633B">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70C8077A" w14:textId="77777777" w:rsidR="006E78BA" w:rsidRPr="006E78BA" w:rsidRDefault="006E78BA" w:rsidP="006E78BA">
      <w:pPr>
        <w:pStyle w:val="F2-zkladn"/>
        <w:rPr>
          <w:lang w:eastAsia="en-US"/>
        </w:rPr>
      </w:pPr>
    </w:p>
    <w:p w14:paraId="44D3C3F0" w14:textId="77777777" w:rsidR="00424771" w:rsidRPr="00424771" w:rsidRDefault="00424771" w:rsidP="002027ED">
      <w:pPr>
        <w:pStyle w:val="F2-zkladn"/>
        <w:rPr>
          <w:b/>
          <w:bCs/>
        </w:rPr>
      </w:pPr>
      <w:r w:rsidRPr="00424771">
        <w:rPr>
          <w:b/>
          <w:bCs/>
        </w:rPr>
        <w:t>Důležité upozornění</w:t>
      </w:r>
    </w:p>
    <w:p w14:paraId="0B10A854" w14:textId="77777777" w:rsidR="00424771" w:rsidRDefault="00424771" w:rsidP="002027ED">
      <w:pPr>
        <w:pStyle w:val="F2-zkladn"/>
      </w:pPr>
      <w:r>
        <w:t>Toto je propagační materiál. Tento dokument nesmí být bez předchozího souhlasu rozmnožován nebo rozšiřován.</w:t>
      </w:r>
    </w:p>
    <w:p w14:paraId="191665B3" w14:textId="77777777"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0B484CF0" w14:textId="77777777" w:rsidR="00424771" w:rsidRDefault="00424771" w:rsidP="002027ED">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6FBC3C8C" w14:textId="77777777"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236BAAE4" w14:textId="77777777" w:rsidR="00424771" w:rsidRDefault="00424771" w:rsidP="002027ED">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487B32F" w14:textId="77777777" w:rsidR="00424771" w:rsidRDefault="00424771" w:rsidP="002027ED">
      <w:pPr>
        <w:pStyle w:val="F2-zkladn"/>
      </w:pPr>
      <w:r>
        <w:lastRenderedPageBreak/>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14F2016C" w14:textId="77777777" w:rsidR="00424771" w:rsidRDefault="00424771" w:rsidP="002027ED">
      <w:pPr>
        <w:pStyle w:val="F2-zkladn"/>
      </w:pPr>
      <w:r>
        <w:t>Minulá výkonnost není spolehlivým ukazatelem budoucích výsledků.</w:t>
      </w:r>
    </w:p>
    <w:p w14:paraId="232D3CB7" w14:textId="77777777" w:rsidR="00424771" w:rsidRDefault="00424771" w:rsidP="002027ED">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197EFFF7"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382E6526"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66EB220B"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1010ED4C" w14:textId="6F7ADB0B" w:rsidR="00D20058" w:rsidRDefault="00D80578" w:rsidP="00DF76B9">
      <w:pPr>
        <w:pStyle w:val="F2-zkladn"/>
      </w:pPr>
      <w:r w:rsidRPr="00D80578">
        <w:t>MKAT12531</w:t>
      </w:r>
    </w:p>
    <w:sectPr w:rsidR="00D20058" w:rsidSect="00F50497">
      <w:headerReference w:type="default" r:id="rId15"/>
      <w:footerReference w:type="default" r:id="rId16"/>
      <w:headerReference w:type="first" r:id="rId17"/>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2B2B7" w14:textId="77777777" w:rsidR="002A374D" w:rsidRDefault="002A374D">
      <w:r>
        <w:separator/>
      </w:r>
    </w:p>
  </w:endnote>
  <w:endnote w:type="continuationSeparator" w:id="0">
    <w:p w14:paraId="19F221F7" w14:textId="77777777" w:rsidR="002A374D" w:rsidRDefault="002A3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FC23"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9C385" w14:textId="77777777" w:rsidR="002A374D" w:rsidRDefault="002A374D">
      <w:r>
        <w:separator/>
      </w:r>
    </w:p>
  </w:footnote>
  <w:footnote w:type="continuationSeparator" w:id="0">
    <w:p w14:paraId="498C0C6C" w14:textId="77777777" w:rsidR="002A374D" w:rsidRDefault="002A374D">
      <w:r>
        <w:continuationSeparator/>
      </w:r>
    </w:p>
  </w:footnote>
  <w:footnote w:type="continuationNotice" w:id="1">
    <w:p w14:paraId="5B6496D8" w14:textId="77777777" w:rsidR="002A374D" w:rsidRDefault="002A37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E985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1E33B" w14:textId="77777777" w:rsidR="001D1343" w:rsidRDefault="0018797C">
    <w:pPr>
      <w:pStyle w:val="Zhlav"/>
    </w:pPr>
    <w:r>
      <w:rPr>
        <w:noProof/>
      </w:rPr>
      <w:drawing>
        <wp:anchor distT="0" distB="0" distL="114300" distR="114300" simplePos="0" relativeHeight="251657728" behindDoc="0" locked="0" layoutInCell="1" allowOverlap="1" wp14:anchorId="72926C4F" wp14:editId="7652070F">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4CA704D5" w14:textId="77777777" w:rsidR="001D1343" w:rsidRDefault="001D1343">
    <w:pPr>
      <w:pStyle w:val="Zhlav"/>
    </w:pPr>
  </w:p>
  <w:p w14:paraId="3E713446"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2"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2"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4"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43033605">
    <w:abstractNumId w:val="17"/>
  </w:num>
  <w:num w:numId="2" w16cid:durableId="146671352">
    <w:abstractNumId w:val="33"/>
  </w:num>
  <w:num w:numId="3" w16cid:durableId="1266381172">
    <w:abstractNumId w:val="40"/>
  </w:num>
  <w:num w:numId="4" w16cid:durableId="1719279861">
    <w:abstractNumId w:val="23"/>
  </w:num>
  <w:num w:numId="5" w16cid:durableId="118620334">
    <w:abstractNumId w:val="25"/>
  </w:num>
  <w:num w:numId="6" w16cid:durableId="1824814676">
    <w:abstractNumId w:val="21"/>
  </w:num>
  <w:num w:numId="7" w16cid:durableId="1926299718">
    <w:abstractNumId w:val="38"/>
  </w:num>
  <w:num w:numId="8" w16cid:durableId="1498184102">
    <w:abstractNumId w:val="27"/>
  </w:num>
  <w:num w:numId="9" w16cid:durableId="1449929593">
    <w:abstractNumId w:val="8"/>
  </w:num>
  <w:num w:numId="10" w16cid:durableId="773866738">
    <w:abstractNumId w:val="3"/>
  </w:num>
  <w:num w:numId="11" w16cid:durableId="2086536223">
    <w:abstractNumId w:val="2"/>
  </w:num>
  <w:num w:numId="12" w16cid:durableId="318927783">
    <w:abstractNumId w:val="1"/>
  </w:num>
  <w:num w:numId="13" w16cid:durableId="1092429139">
    <w:abstractNumId w:val="0"/>
  </w:num>
  <w:num w:numId="14" w16cid:durableId="1555390236">
    <w:abstractNumId w:val="11"/>
  </w:num>
  <w:num w:numId="15" w16cid:durableId="422386552">
    <w:abstractNumId w:val="9"/>
  </w:num>
  <w:num w:numId="16" w16cid:durableId="167907336">
    <w:abstractNumId w:val="7"/>
  </w:num>
  <w:num w:numId="17" w16cid:durableId="1887527175">
    <w:abstractNumId w:val="6"/>
  </w:num>
  <w:num w:numId="18" w16cid:durableId="2091191755">
    <w:abstractNumId w:val="5"/>
  </w:num>
  <w:num w:numId="19" w16cid:durableId="626397989">
    <w:abstractNumId w:val="4"/>
  </w:num>
  <w:num w:numId="20" w16cid:durableId="803893251">
    <w:abstractNumId w:val="15"/>
  </w:num>
  <w:num w:numId="21" w16cid:durableId="1100370002">
    <w:abstractNumId w:val="31"/>
  </w:num>
  <w:num w:numId="22" w16cid:durableId="2069836537">
    <w:abstractNumId w:val="12"/>
  </w:num>
  <w:num w:numId="23" w16cid:durableId="1663701074">
    <w:abstractNumId w:val="10"/>
  </w:num>
  <w:num w:numId="24" w16cid:durableId="661811107">
    <w:abstractNumId w:val="13"/>
  </w:num>
  <w:num w:numId="25" w16cid:durableId="367528897">
    <w:abstractNumId w:val="19"/>
  </w:num>
  <w:num w:numId="26" w16cid:durableId="66655553">
    <w:abstractNumId w:val="37"/>
  </w:num>
  <w:num w:numId="27" w16cid:durableId="1412049229">
    <w:abstractNumId w:val="30"/>
  </w:num>
  <w:num w:numId="28" w16cid:durableId="1854563770">
    <w:abstractNumId w:val="20"/>
  </w:num>
  <w:num w:numId="29" w16cid:durableId="1511022718">
    <w:abstractNumId w:val="22"/>
  </w:num>
  <w:num w:numId="30" w16cid:durableId="189878341">
    <w:abstractNumId w:val="24"/>
  </w:num>
  <w:num w:numId="31" w16cid:durableId="408891146">
    <w:abstractNumId w:val="32"/>
  </w:num>
  <w:num w:numId="32" w16cid:durableId="668292118">
    <w:abstractNumId w:val="41"/>
  </w:num>
  <w:num w:numId="33" w16cid:durableId="1545678938">
    <w:abstractNumId w:val="29"/>
  </w:num>
  <w:num w:numId="34" w16cid:durableId="334190881">
    <w:abstractNumId w:val="39"/>
  </w:num>
  <w:num w:numId="35" w16cid:durableId="867832294">
    <w:abstractNumId w:val="43"/>
  </w:num>
  <w:num w:numId="36" w16cid:durableId="1707019958">
    <w:abstractNumId w:val="14"/>
  </w:num>
  <w:num w:numId="37" w16cid:durableId="1229464119">
    <w:abstractNumId w:val="36"/>
  </w:num>
  <w:num w:numId="38" w16cid:durableId="1404453976">
    <w:abstractNumId w:val="16"/>
  </w:num>
  <w:num w:numId="39" w16cid:durableId="639572714">
    <w:abstractNumId w:val="28"/>
  </w:num>
  <w:num w:numId="40" w16cid:durableId="1181239656">
    <w:abstractNumId w:val="34"/>
  </w:num>
  <w:num w:numId="41" w16cid:durableId="1776094729">
    <w:abstractNumId w:val="42"/>
  </w:num>
  <w:num w:numId="42" w16cid:durableId="58788658">
    <w:abstractNumId w:val="26"/>
  </w:num>
  <w:num w:numId="43" w16cid:durableId="1389382411">
    <w:abstractNumId w:val="35"/>
  </w:num>
  <w:num w:numId="44" w16cid:durableId="608975387">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1BEC"/>
    <w:rsid w:val="00013232"/>
    <w:rsid w:val="00016492"/>
    <w:rsid w:val="00017E0A"/>
    <w:rsid w:val="00020F03"/>
    <w:rsid w:val="00021D97"/>
    <w:rsid w:val="0002277D"/>
    <w:rsid w:val="000237A9"/>
    <w:rsid w:val="00026B23"/>
    <w:rsid w:val="00026F85"/>
    <w:rsid w:val="000326E4"/>
    <w:rsid w:val="00032CD3"/>
    <w:rsid w:val="00033378"/>
    <w:rsid w:val="000348FD"/>
    <w:rsid w:val="0003583E"/>
    <w:rsid w:val="00035DD6"/>
    <w:rsid w:val="000363FF"/>
    <w:rsid w:val="000378F9"/>
    <w:rsid w:val="00040650"/>
    <w:rsid w:val="00040CE8"/>
    <w:rsid w:val="00040DEC"/>
    <w:rsid w:val="00041B2D"/>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CAB"/>
    <w:rsid w:val="00073D6F"/>
    <w:rsid w:val="000755DF"/>
    <w:rsid w:val="000763EB"/>
    <w:rsid w:val="000766BF"/>
    <w:rsid w:val="0007674D"/>
    <w:rsid w:val="000767DF"/>
    <w:rsid w:val="00076A25"/>
    <w:rsid w:val="00076A2B"/>
    <w:rsid w:val="00080750"/>
    <w:rsid w:val="00080A22"/>
    <w:rsid w:val="00081DCE"/>
    <w:rsid w:val="00084075"/>
    <w:rsid w:val="00091210"/>
    <w:rsid w:val="00092137"/>
    <w:rsid w:val="000923E4"/>
    <w:rsid w:val="00093200"/>
    <w:rsid w:val="00093C6A"/>
    <w:rsid w:val="00093E98"/>
    <w:rsid w:val="000940D0"/>
    <w:rsid w:val="000A0176"/>
    <w:rsid w:val="000A06A7"/>
    <w:rsid w:val="000A2833"/>
    <w:rsid w:val="000A2D6F"/>
    <w:rsid w:val="000A3FFF"/>
    <w:rsid w:val="000A572D"/>
    <w:rsid w:val="000A5FDF"/>
    <w:rsid w:val="000A73CB"/>
    <w:rsid w:val="000A755E"/>
    <w:rsid w:val="000B0FBB"/>
    <w:rsid w:val="000B2222"/>
    <w:rsid w:val="000B2426"/>
    <w:rsid w:val="000B39A5"/>
    <w:rsid w:val="000B51E9"/>
    <w:rsid w:val="000B579C"/>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4ADE"/>
    <w:rsid w:val="000E5D25"/>
    <w:rsid w:val="000E7127"/>
    <w:rsid w:val="000E7418"/>
    <w:rsid w:val="000F02A2"/>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942"/>
    <w:rsid w:val="00146BBC"/>
    <w:rsid w:val="001511F4"/>
    <w:rsid w:val="001522B5"/>
    <w:rsid w:val="00153D75"/>
    <w:rsid w:val="00153FD1"/>
    <w:rsid w:val="00154C56"/>
    <w:rsid w:val="00154D3A"/>
    <w:rsid w:val="0015633B"/>
    <w:rsid w:val="00160EB2"/>
    <w:rsid w:val="00161993"/>
    <w:rsid w:val="001628BC"/>
    <w:rsid w:val="0016361E"/>
    <w:rsid w:val="00165789"/>
    <w:rsid w:val="0016695F"/>
    <w:rsid w:val="00170309"/>
    <w:rsid w:val="00170DE1"/>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285"/>
    <w:rsid w:val="00194945"/>
    <w:rsid w:val="001949DC"/>
    <w:rsid w:val="001956CF"/>
    <w:rsid w:val="001970D7"/>
    <w:rsid w:val="00197E01"/>
    <w:rsid w:val="001A085A"/>
    <w:rsid w:val="001A0CB6"/>
    <w:rsid w:val="001A1B9B"/>
    <w:rsid w:val="001A3CA7"/>
    <w:rsid w:val="001A4AA9"/>
    <w:rsid w:val="001A68C4"/>
    <w:rsid w:val="001A6B3C"/>
    <w:rsid w:val="001A6ED5"/>
    <w:rsid w:val="001A74F2"/>
    <w:rsid w:val="001A7D5A"/>
    <w:rsid w:val="001A7DE3"/>
    <w:rsid w:val="001B0302"/>
    <w:rsid w:val="001B05F4"/>
    <w:rsid w:val="001B19BC"/>
    <w:rsid w:val="001B1BBD"/>
    <w:rsid w:val="001B23C8"/>
    <w:rsid w:val="001B2BE9"/>
    <w:rsid w:val="001B306F"/>
    <w:rsid w:val="001B353C"/>
    <w:rsid w:val="001B489F"/>
    <w:rsid w:val="001B69B7"/>
    <w:rsid w:val="001C02E6"/>
    <w:rsid w:val="001C21DF"/>
    <w:rsid w:val="001C4F9E"/>
    <w:rsid w:val="001C5A91"/>
    <w:rsid w:val="001C5DB0"/>
    <w:rsid w:val="001C6F31"/>
    <w:rsid w:val="001D032B"/>
    <w:rsid w:val="001D0D99"/>
    <w:rsid w:val="001D1225"/>
    <w:rsid w:val="001D1343"/>
    <w:rsid w:val="001D4B56"/>
    <w:rsid w:val="001D4CF8"/>
    <w:rsid w:val="001D5163"/>
    <w:rsid w:val="001D7A7E"/>
    <w:rsid w:val="001E2936"/>
    <w:rsid w:val="001E2B0D"/>
    <w:rsid w:val="001E476B"/>
    <w:rsid w:val="001E507C"/>
    <w:rsid w:val="001E53EB"/>
    <w:rsid w:val="001E57AB"/>
    <w:rsid w:val="001E67FF"/>
    <w:rsid w:val="001E6913"/>
    <w:rsid w:val="001E6C4F"/>
    <w:rsid w:val="001F1241"/>
    <w:rsid w:val="001F1A22"/>
    <w:rsid w:val="001F2C9A"/>
    <w:rsid w:val="001F4B06"/>
    <w:rsid w:val="001F5BD4"/>
    <w:rsid w:val="001F627F"/>
    <w:rsid w:val="001F65C1"/>
    <w:rsid w:val="002006D5"/>
    <w:rsid w:val="00201CD7"/>
    <w:rsid w:val="002027ED"/>
    <w:rsid w:val="00202F64"/>
    <w:rsid w:val="00203977"/>
    <w:rsid w:val="00206A9C"/>
    <w:rsid w:val="00210DA8"/>
    <w:rsid w:val="00210EEA"/>
    <w:rsid w:val="00212B9E"/>
    <w:rsid w:val="00212DDA"/>
    <w:rsid w:val="002147C4"/>
    <w:rsid w:val="00216EFA"/>
    <w:rsid w:val="0021765E"/>
    <w:rsid w:val="0021778F"/>
    <w:rsid w:val="00221643"/>
    <w:rsid w:val="00221EE4"/>
    <w:rsid w:val="002237EC"/>
    <w:rsid w:val="002241EE"/>
    <w:rsid w:val="00224347"/>
    <w:rsid w:val="00224EAE"/>
    <w:rsid w:val="00225670"/>
    <w:rsid w:val="002268F9"/>
    <w:rsid w:val="00226D28"/>
    <w:rsid w:val="00227323"/>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38EA"/>
    <w:rsid w:val="00243F5F"/>
    <w:rsid w:val="00245331"/>
    <w:rsid w:val="00246476"/>
    <w:rsid w:val="0024760D"/>
    <w:rsid w:val="002476C8"/>
    <w:rsid w:val="00252C08"/>
    <w:rsid w:val="0025356A"/>
    <w:rsid w:val="002548DB"/>
    <w:rsid w:val="00255335"/>
    <w:rsid w:val="00255E9C"/>
    <w:rsid w:val="00255F84"/>
    <w:rsid w:val="00256118"/>
    <w:rsid w:val="0025641E"/>
    <w:rsid w:val="00256692"/>
    <w:rsid w:val="00257859"/>
    <w:rsid w:val="00262CDC"/>
    <w:rsid w:val="0026336D"/>
    <w:rsid w:val="002659D6"/>
    <w:rsid w:val="00266BB2"/>
    <w:rsid w:val="00267F47"/>
    <w:rsid w:val="0027138C"/>
    <w:rsid w:val="0027263C"/>
    <w:rsid w:val="002746C8"/>
    <w:rsid w:val="002749F1"/>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2EC0"/>
    <w:rsid w:val="00293679"/>
    <w:rsid w:val="00293BA3"/>
    <w:rsid w:val="00294A46"/>
    <w:rsid w:val="00296721"/>
    <w:rsid w:val="00296E4C"/>
    <w:rsid w:val="00296EFF"/>
    <w:rsid w:val="00297239"/>
    <w:rsid w:val="00297927"/>
    <w:rsid w:val="00297E46"/>
    <w:rsid w:val="002A0553"/>
    <w:rsid w:val="002A0933"/>
    <w:rsid w:val="002A2D40"/>
    <w:rsid w:val="002A3111"/>
    <w:rsid w:val="002A374D"/>
    <w:rsid w:val="002A3C7D"/>
    <w:rsid w:val="002A44A9"/>
    <w:rsid w:val="002A4D2E"/>
    <w:rsid w:val="002B0AF2"/>
    <w:rsid w:val="002B0AFD"/>
    <w:rsid w:val="002B0B15"/>
    <w:rsid w:val="002B14B5"/>
    <w:rsid w:val="002B2991"/>
    <w:rsid w:val="002B3C38"/>
    <w:rsid w:val="002B4A3F"/>
    <w:rsid w:val="002B5380"/>
    <w:rsid w:val="002B5926"/>
    <w:rsid w:val="002B5C76"/>
    <w:rsid w:val="002B6FCD"/>
    <w:rsid w:val="002B72A2"/>
    <w:rsid w:val="002B7380"/>
    <w:rsid w:val="002B7901"/>
    <w:rsid w:val="002C1698"/>
    <w:rsid w:val="002C1FC2"/>
    <w:rsid w:val="002C2049"/>
    <w:rsid w:val="002C4E32"/>
    <w:rsid w:val="002C50AC"/>
    <w:rsid w:val="002C5176"/>
    <w:rsid w:val="002C5928"/>
    <w:rsid w:val="002C6682"/>
    <w:rsid w:val="002C7913"/>
    <w:rsid w:val="002D0CC4"/>
    <w:rsid w:val="002D0CD4"/>
    <w:rsid w:val="002D11C7"/>
    <w:rsid w:val="002D22C6"/>
    <w:rsid w:val="002D28A9"/>
    <w:rsid w:val="002D6A75"/>
    <w:rsid w:val="002D7CBC"/>
    <w:rsid w:val="002E3325"/>
    <w:rsid w:val="002E497E"/>
    <w:rsid w:val="002E76D1"/>
    <w:rsid w:val="002F0500"/>
    <w:rsid w:val="002F1160"/>
    <w:rsid w:val="002F5491"/>
    <w:rsid w:val="002F7A8F"/>
    <w:rsid w:val="00301671"/>
    <w:rsid w:val="00301881"/>
    <w:rsid w:val="0030211F"/>
    <w:rsid w:val="00302961"/>
    <w:rsid w:val="00303102"/>
    <w:rsid w:val="00304242"/>
    <w:rsid w:val="00307253"/>
    <w:rsid w:val="0030766B"/>
    <w:rsid w:val="003078EB"/>
    <w:rsid w:val="00307E7E"/>
    <w:rsid w:val="00310E2F"/>
    <w:rsid w:val="003114D0"/>
    <w:rsid w:val="00311AE0"/>
    <w:rsid w:val="00311D2E"/>
    <w:rsid w:val="003172DF"/>
    <w:rsid w:val="003177AF"/>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37EA"/>
    <w:rsid w:val="003343C4"/>
    <w:rsid w:val="00334497"/>
    <w:rsid w:val="00340CA2"/>
    <w:rsid w:val="00341E98"/>
    <w:rsid w:val="00344296"/>
    <w:rsid w:val="00346522"/>
    <w:rsid w:val="00347B43"/>
    <w:rsid w:val="0035034F"/>
    <w:rsid w:val="003524F1"/>
    <w:rsid w:val="00352768"/>
    <w:rsid w:val="00352E92"/>
    <w:rsid w:val="00352F7A"/>
    <w:rsid w:val="00356DCD"/>
    <w:rsid w:val="0036129D"/>
    <w:rsid w:val="0036311C"/>
    <w:rsid w:val="00364C9F"/>
    <w:rsid w:val="00366ABC"/>
    <w:rsid w:val="00370EB8"/>
    <w:rsid w:val="00371045"/>
    <w:rsid w:val="00371B42"/>
    <w:rsid w:val="00372ACE"/>
    <w:rsid w:val="00372D58"/>
    <w:rsid w:val="003731A5"/>
    <w:rsid w:val="003736DA"/>
    <w:rsid w:val="00373731"/>
    <w:rsid w:val="00374CFA"/>
    <w:rsid w:val="003751F0"/>
    <w:rsid w:val="00375524"/>
    <w:rsid w:val="0037564F"/>
    <w:rsid w:val="00382A16"/>
    <w:rsid w:val="00383735"/>
    <w:rsid w:val="00383E57"/>
    <w:rsid w:val="00384699"/>
    <w:rsid w:val="00386215"/>
    <w:rsid w:val="003864E2"/>
    <w:rsid w:val="003866DC"/>
    <w:rsid w:val="003872AC"/>
    <w:rsid w:val="003900AC"/>
    <w:rsid w:val="00390999"/>
    <w:rsid w:val="003911D6"/>
    <w:rsid w:val="00391A9C"/>
    <w:rsid w:val="00391EEB"/>
    <w:rsid w:val="00394B7B"/>
    <w:rsid w:val="00395B87"/>
    <w:rsid w:val="00397E34"/>
    <w:rsid w:val="003A0565"/>
    <w:rsid w:val="003A0BB4"/>
    <w:rsid w:val="003A2CC7"/>
    <w:rsid w:val="003A33EF"/>
    <w:rsid w:val="003A415C"/>
    <w:rsid w:val="003A4774"/>
    <w:rsid w:val="003A5592"/>
    <w:rsid w:val="003A68DD"/>
    <w:rsid w:val="003A7050"/>
    <w:rsid w:val="003A7482"/>
    <w:rsid w:val="003A75FD"/>
    <w:rsid w:val="003A7DAF"/>
    <w:rsid w:val="003B397A"/>
    <w:rsid w:val="003B3BF6"/>
    <w:rsid w:val="003B4278"/>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E5C35"/>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24B6"/>
    <w:rsid w:val="004235A0"/>
    <w:rsid w:val="004238B6"/>
    <w:rsid w:val="00423C1E"/>
    <w:rsid w:val="00423C6F"/>
    <w:rsid w:val="00424771"/>
    <w:rsid w:val="00425B35"/>
    <w:rsid w:val="00427801"/>
    <w:rsid w:val="004278C3"/>
    <w:rsid w:val="0043115E"/>
    <w:rsid w:val="00431E52"/>
    <w:rsid w:val="00433AB4"/>
    <w:rsid w:val="004347CE"/>
    <w:rsid w:val="0043546F"/>
    <w:rsid w:val="004370DA"/>
    <w:rsid w:val="00440AB9"/>
    <w:rsid w:val="004428A1"/>
    <w:rsid w:val="004430F8"/>
    <w:rsid w:val="00443C2E"/>
    <w:rsid w:val="004444B6"/>
    <w:rsid w:val="0044597A"/>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7542"/>
    <w:rsid w:val="0049074E"/>
    <w:rsid w:val="004907F4"/>
    <w:rsid w:val="00493172"/>
    <w:rsid w:val="00493333"/>
    <w:rsid w:val="00494414"/>
    <w:rsid w:val="0049538C"/>
    <w:rsid w:val="004955BB"/>
    <w:rsid w:val="00497C14"/>
    <w:rsid w:val="004A0EA9"/>
    <w:rsid w:val="004A3533"/>
    <w:rsid w:val="004A3C5B"/>
    <w:rsid w:val="004A461C"/>
    <w:rsid w:val="004A4780"/>
    <w:rsid w:val="004A47DC"/>
    <w:rsid w:val="004A52B6"/>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F47"/>
    <w:rsid w:val="004C7E96"/>
    <w:rsid w:val="004C7EA7"/>
    <w:rsid w:val="004D1014"/>
    <w:rsid w:val="004D3633"/>
    <w:rsid w:val="004D66DB"/>
    <w:rsid w:val="004D79D4"/>
    <w:rsid w:val="004E0978"/>
    <w:rsid w:val="004E14D9"/>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FAA"/>
    <w:rsid w:val="00506095"/>
    <w:rsid w:val="00506ACA"/>
    <w:rsid w:val="00506CD0"/>
    <w:rsid w:val="00507183"/>
    <w:rsid w:val="00507D6F"/>
    <w:rsid w:val="00507F1F"/>
    <w:rsid w:val="005107FD"/>
    <w:rsid w:val="00510980"/>
    <w:rsid w:val="00511B34"/>
    <w:rsid w:val="00512AEC"/>
    <w:rsid w:val="00512D81"/>
    <w:rsid w:val="0051504C"/>
    <w:rsid w:val="005172B1"/>
    <w:rsid w:val="00520506"/>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3AE7"/>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3D01"/>
    <w:rsid w:val="0056452E"/>
    <w:rsid w:val="005654C8"/>
    <w:rsid w:val="005656FB"/>
    <w:rsid w:val="00566995"/>
    <w:rsid w:val="00567010"/>
    <w:rsid w:val="005678EB"/>
    <w:rsid w:val="00570CA6"/>
    <w:rsid w:val="00570F18"/>
    <w:rsid w:val="0057123D"/>
    <w:rsid w:val="005720AF"/>
    <w:rsid w:val="0057387E"/>
    <w:rsid w:val="00573BFA"/>
    <w:rsid w:val="00573CC7"/>
    <w:rsid w:val="0057495C"/>
    <w:rsid w:val="005758A5"/>
    <w:rsid w:val="0057613C"/>
    <w:rsid w:val="0057636A"/>
    <w:rsid w:val="00576443"/>
    <w:rsid w:val="00583941"/>
    <w:rsid w:val="005847DC"/>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07C4"/>
    <w:rsid w:val="005B19D9"/>
    <w:rsid w:val="005B1B79"/>
    <w:rsid w:val="005B24EA"/>
    <w:rsid w:val="005B2F2A"/>
    <w:rsid w:val="005B33DF"/>
    <w:rsid w:val="005B55C1"/>
    <w:rsid w:val="005B6F85"/>
    <w:rsid w:val="005C00A9"/>
    <w:rsid w:val="005C20F7"/>
    <w:rsid w:val="005C22F8"/>
    <w:rsid w:val="005C4078"/>
    <w:rsid w:val="005C45F6"/>
    <w:rsid w:val="005C5039"/>
    <w:rsid w:val="005C5B2D"/>
    <w:rsid w:val="005C6A6C"/>
    <w:rsid w:val="005C74D1"/>
    <w:rsid w:val="005C7C7C"/>
    <w:rsid w:val="005C7FC0"/>
    <w:rsid w:val="005D0735"/>
    <w:rsid w:val="005D1C98"/>
    <w:rsid w:val="005D37B5"/>
    <w:rsid w:val="005D3B85"/>
    <w:rsid w:val="005D3F78"/>
    <w:rsid w:val="005D49F1"/>
    <w:rsid w:val="005D4A52"/>
    <w:rsid w:val="005D5B6F"/>
    <w:rsid w:val="005D6494"/>
    <w:rsid w:val="005D72C2"/>
    <w:rsid w:val="005D79E1"/>
    <w:rsid w:val="005D7C68"/>
    <w:rsid w:val="005E1A38"/>
    <w:rsid w:val="005E2179"/>
    <w:rsid w:val="005E27A3"/>
    <w:rsid w:val="005E2AA8"/>
    <w:rsid w:val="005E45D5"/>
    <w:rsid w:val="005E616C"/>
    <w:rsid w:val="005E6624"/>
    <w:rsid w:val="005E66A3"/>
    <w:rsid w:val="005F0478"/>
    <w:rsid w:val="005F1FA6"/>
    <w:rsid w:val="005F34DA"/>
    <w:rsid w:val="005F54F7"/>
    <w:rsid w:val="00601C76"/>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30F"/>
    <w:rsid w:val="006226CD"/>
    <w:rsid w:val="00622E77"/>
    <w:rsid w:val="00623758"/>
    <w:rsid w:val="0062398C"/>
    <w:rsid w:val="00624AE2"/>
    <w:rsid w:val="00624DDA"/>
    <w:rsid w:val="00627B44"/>
    <w:rsid w:val="00627C23"/>
    <w:rsid w:val="006305EF"/>
    <w:rsid w:val="00631992"/>
    <w:rsid w:val="00631E30"/>
    <w:rsid w:val="00632705"/>
    <w:rsid w:val="00640475"/>
    <w:rsid w:val="006404A9"/>
    <w:rsid w:val="006419BA"/>
    <w:rsid w:val="00641D35"/>
    <w:rsid w:val="00641F34"/>
    <w:rsid w:val="00642A36"/>
    <w:rsid w:val="006437A9"/>
    <w:rsid w:val="00643F9F"/>
    <w:rsid w:val="006440ED"/>
    <w:rsid w:val="00645857"/>
    <w:rsid w:val="00650A33"/>
    <w:rsid w:val="00652AEE"/>
    <w:rsid w:val="00653433"/>
    <w:rsid w:val="00653727"/>
    <w:rsid w:val="00653C29"/>
    <w:rsid w:val="00654B04"/>
    <w:rsid w:val="0065650A"/>
    <w:rsid w:val="0065660F"/>
    <w:rsid w:val="00656EB3"/>
    <w:rsid w:val="006573B5"/>
    <w:rsid w:val="00657D5A"/>
    <w:rsid w:val="00660480"/>
    <w:rsid w:val="00661276"/>
    <w:rsid w:val="00661FF2"/>
    <w:rsid w:val="00662C87"/>
    <w:rsid w:val="0066345D"/>
    <w:rsid w:val="00666290"/>
    <w:rsid w:val="00670027"/>
    <w:rsid w:val="00671D22"/>
    <w:rsid w:val="00675EB3"/>
    <w:rsid w:val="00676843"/>
    <w:rsid w:val="00676BD2"/>
    <w:rsid w:val="00677228"/>
    <w:rsid w:val="00680068"/>
    <w:rsid w:val="006801CA"/>
    <w:rsid w:val="00680B56"/>
    <w:rsid w:val="00680C92"/>
    <w:rsid w:val="00680D4C"/>
    <w:rsid w:val="00682099"/>
    <w:rsid w:val="00682746"/>
    <w:rsid w:val="00683717"/>
    <w:rsid w:val="00684132"/>
    <w:rsid w:val="006844B9"/>
    <w:rsid w:val="00685B75"/>
    <w:rsid w:val="006867CC"/>
    <w:rsid w:val="00686E95"/>
    <w:rsid w:val="00690740"/>
    <w:rsid w:val="00690C50"/>
    <w:rsid w:val="006923A6"/>
    <w:rsid w:val="00692EE8"/>
    <w:rsid w:val="00693595"/>
    <w:rsid w:val="0069454C"/>
    <w:rsid w:val="00694CCF"/>
    <w:rsid w:val="00694D57"/>
    <w:rsid w:val="00694F26"/>
    <w:rsid w:val="0069509B"/>
    <w:rsid w:val="00696362"/>
    <w:rsid w:val="00697902"/>
    <w:rsid w:val="00697F0A"/>
    <w:rsid w:val="006A04AE"/>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3B12"/>
    <w:rsid w:val="006C44DF"/>
    <w:rsid w:val="006C4633"/>
    <w:rsid w:val="006C5636"/>
    <w:rsid w:val="006C6C67"/>
    <w:rsid w:val="006C79D3"/>
    <w:rsid w:val="006D0805"/>
    <w:rsid w:val="006D0AA8"/>
    <w:rsid w:val="006D2153"/>
    <w:rsid w:val="006D4517"/>
    <w:rsid w:val="006D5F3A"/>
    <w:rsid w:val="006D6BCD"/>
    <w:rsid w:val="006D7AF1"/>
    <w:rsid w:val="006D7B5A"/>
    <w:rsid w:val="006E0925"/>
    <w:rsid w:val="006E1E9E"/>
    <w:rsid w:val="006E21DA"/>
    <w:rsid w:val="006E4279"/>
    <w:rsid w:val="006E4913"/>
    <w:rsid w:val="006E5555"/>
    <w:rsid w:val="006E5B47"/>
    <w:rsid w:val="006E78BA"/>
    <w:rsid w:val="006E7DAC"/>
    <w:rsid w:val="006F1295"/>
    <w:rsid w:val="006F15CC"/>
    <w:rsid w:val="006F1CCA"/>
    <w:rsid w:val="006F2C0E"/>
    <w:rsid w:val="006F4F09"/>
    <w:rsid w:val="006F508D"/>
    <w:rsid w:val="006F51CE"/>
    <w:rsid w:val="006F640B"/>
    <w:rsid w:val="0070043C"/>
    <w:rsid w:val="007046FB"/>
    <w:rsid w:val="00705A61"/>
    <w:rsid w:val="00710424"/>
    <w:rsid w:val="007109F6"/>
    <w:rsid w:val="007133CB"/>
    <w:rsid w:val="00713F83"/>
    <w:rsid w:val="00714ED2"/>
    <w:rsid w:val="00715F45"/>
    <w:rsid w:val="00716604"/>
    <w:rsid w:val="0071719A"/>
    <w:rsid w:val="0071726D"/>
    <w:rsid w:val="007176A7"/>
    <w:rsid w:val="007178FF"/>
    <w:rsid w:val="007204B4"/>
    <w:rsid w:val="00720781"/>
    <w:rsid w:val="0072091B"/>
    <w:rsid w:val="00722B07"/>
    <w:rsid w:val="00722BC9"/>
    <w:rsid w:val="00723632"/>
    <w:rsid w:val="007238DA"/>
    <w:rsid w:val="00725052"/>
    <w:rsid w:val="00725342"/>
    <w:rsid w:val="00725C3B"/>
    <w:rsid w:val="00725F39"/>
    <w:rsid w:val="00727027"/>
    <w:rsid w:val="0073000D"/>
    <w:rsid w:val="0073022F"/>
    <w:rsid w:val="00731DF1"/>
    <w:rsid w:val="00731F2B"/>
    <w:rsid w:val="0073409B"/>
    <w:rsid w:val="00734AFD"/>
    <w:rsid w:val="00735E32"/>
    <w:rsid w:val="00736BEA"/>
    <w:rsid w:val="007375D0"/>
    <w:rsid w:val="00740095"/>
    <w:rsid w:val="0074159C"/>
    <w:rsid w:val="00742862"/>
    <w:rsid w:val="00742FD0"/>
    <w:rsid w:val="007432EF"/>
    <w:rsid w:val="00743FE9"/>
    <w:rsid w:val="0074497D"/>
    <w:rsid w:val="00745DD0"/>
    <w:rsid w:val="00745F44"/>
    <w:rsid w:val="00746455"/>
    <w:rsid w:val="00746F96"/>
    <w:rsid w:val="0074770C"/>
    <w:rsid w:val="00750405"/>
    <w:rsid w:val="007507C1"/>
    <w:rsid w:val="00751546"/>
    <w:rsid w:val="007541CE"/>
    <w:rsid w:val="007545E5"/>
    <w:rsid w:val="00755577"/>
    <w:rsid w:val="00755878"/>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7C6"/>
    <w:rsid w:val="00794CF3"/>
    <w:rsid w:val="00794E4C"/>
    <w:rsid w:val="00795109"/>
    <w:rsid w:val="0079614E"/>
    <w:rsid w:val="007A0160"/>
    <w:rsid w:val="007A027B"/>
    <w:rsid w:val="007A3937"/>
    <w:rsid w:val="007A40C6"/>
    <w:rsid w:val="007A4B43"/>
    <w:rsid w:val="007A4F20"/>
    <w:rsid w:val="007A67F3"/>
    <w:rsid w:val="007A6AA0"/>
    <w:rsid w:val="007A6B19"/>
    <w:rsid w:val="007B0E88"/>
    <w:rsid w:val="007B3045"/>
    <w:rsid w:val="007B391E"/>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5C1C"/>
    <w:rsid w:val="007C5E71"/>
    <w:rsid w:val="007C730D"/>
    <w:rsid w:val="007C7393"/>
    <w:rsid w:val="007D0C6A"/>
    <w:rsid w:val="007D391B"/>
    <w:rsid w:val="007D3B29"/>
    <w:rsid w:val="007D43E6"/>
    <w:rsid w:val="007D4EC6"/>
    <w:rsid w:val="007D5CD8"/>
    <w:rsid w:val="007D6974"/>
    <w:rsid w:val="007D7780"/>
    <w:rsid w:val="007E06B8"/>
    <w:rsid w:val="007E0A4B"/>
    <w:rsid w:val="007E326A"/>
    <w:rsid w:val="007E3EDF"/>
    <w:rsid w:val="007E4CDB"/>
    <w:rsid w:val="007E541D"/>
    <w:rsid w:val="007E548B"/>
    <w:rsid w:val="007F0468"/>
    <w:rsid w:val="007F1028"/>
    <w:rsid w:val="007F1637"/>
    <w:rsid w:val="007F1B11"/>
    <w:rsid w:val="007F1FBA"/>
    <w:rsid w:val="007F4ABD"/>
    <w:rsid w:val="007F694C"/>
    <w:rsid w:val="007F7212"/>
    <w:rsid w:val="007F74CA"/>
    <w:rsid w:val="007F7B5C"/>
    <w:rsid w:val="00800307"/>
    <w:rsid w:val="00800365"/>
    <w:rsid w:val="00800399"/>
    <w:rsid w:val="00800A09"/>
    <w:rsid w:val="008014EC"/>
    <w:rsid w:val="0080235B"/>
    <w:rsid w:val="0080294E"/>
    <w:rsid w:val="008029BA"/>
    <w:rsid w:val="00804FC7"/>
    <w:rsid w:val="008075EA"/>
    <w:rsid w:val="00807DD1"/>
    <w:rsid w:val="008111C3"/>
    <w:rsid w:val="008125BE"/>
    <w:rsid w:val="00812CF5"/>
    <w:rsid w:val="00813471"/>
    <w:rsid w:val="00814198"/>
    <w:rsid w:val="00814390"/>
    <w:rsid w:val="00814679"/>
    <w:rsid w:val="00814849"/>
    <w:rsid w:val="00820EE3"/>
    <w:rsid w:val="00821B02"/>
    <w:rsid w:val="00821F46"/>
    <w:rsid w:val="00822050"/>
    <w:rsid w:val="00822B92"/>
    <w:rsid w:val="00825488"/>
    <w:rsid w:val="00825653"/>
    <w:rsid w:val="00825D4F"/>
    <w:rsid w:val="00827DBA"/>
    <w:rsid w:val="00830D57"/>
    <w:rsid w:val="00832A31"/>
    <w:rsid w:val="008346B1"/>
    <w:rsid w:val="00835916"/>
    <w:rsid w:val="0083650C"/>
    <w:rsid w:val="0084045B"/>
    <w:rsid w:val="00841B72"/>
    <w:rsid w:val="0084658D"/>
    <w:rsid w:val="0084695E"/>
    <w:rsid w:val="00850166"/>
    <w:rsid w:val="00850650"/>
    <w:rsid w:val="00850E5D"/>
    <w:rsid w:val="00851E91"/>
    <w:rsid w:val="008524C4"/>
    <w:rsid w:val="0085268C"/>
    <w:rsid w:val="00854ABD"/>
    <w:rsid w:val="00856ED6"/>
    <w:rsid w:val="00861070"/>
    <w:rsid w:val="00862CAD"/>
    <w:rsid w:val="00864A50"/>
    <w:rsid w:val="00865C11"/>
    <w:rsid w:val="00866290"/>
    <w:rsid w:val="00866978"/>
    <w:rsid w:val="00866CD7"/>
    <w:rsid w:val="00866D9F"/>
    <w:rsid w:val="00871D3C"/>
    <w:rsid w:val="00872129"/>
    <w:rsid w:val="00872D1B"/>
    <w:rsid w:val="00872DC6"/>
    <w:rsid w:val="008730BC"/>
    <w:rsid w:val="0087451E"/>
    <w:rsid w:val="00874D66"/>
    <w:rsid w:val="0087590B"/>
    <w:rsid w:val="00876BDD"/>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6FD1"/>
    <w:rsid w:val="008976A7"/>
    <w:rsid w:val="008A0E63"/>
    <w:rsid w:val="008A114F"/>
    <w:rsid w:val="008A2257"/>
    <w:rsid w:val="008A2C50"/>
    <w:rsid w:val="008A33CE"/>
    <w:rsid w:val="008B0362"/>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68A"/>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2125"/>
    <w:rsid w:val="008F3B73"/>
    <w:rsid w:val="008F7D0D"/>
    <w:rsid w:val="00900CE5"/>
    <w:rsid w:val="00901E9B"/>
    <w:rsid w:val="00902C6A"/>
    <w:rsid w:val="0090415F"/>
    <w:rsid w:val="00904CA9"/>
    <w:rsid w:val="00905911"/>
    <w:rsid w:val="00906090"/>
    <w:rsid w:val="00906476"/>
    <w:rsid w:val="00906A9A"/>
    <w:rsid w:val="00907061"/>
    <w:rsid w:val="00907834"/>
    <w:rsid w:val="0090788B"/>
    <w:rsid w:val="009079B2"/>
    <w:rsid w:val="009118A0"/>
    <w:rsid w:val="00911C28"/>
    <w:rsid w:val="00913D48"/>
    <w:rsid w:val="00913D96"/>
    <w:rsid w:val="009145F6"/>
    <w:rsid w:val="00917246"/>
    <w:rsid w:val="00917547"/>
    <w:rsid w:val="0091759A"/>
    <w:rsid w:val="00920540"/>
    <w:rsid w:val="00920F36"/>
    <w:rsid w:val="00922697"/>
    <w:rsid w:val="00922F8C"/>
    <w:rsid w:val="0092325A"/>
    <w:rsid w:val="00924BD8"/>
    <w:rsid w:val="009262FA"/>
    <w:rsid w:val="0092657B"/>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50C28"/>
    <w:rsid w:val="00951993"/>
    <w:rsid w:val="0095216E"/>
    <w:rsid w:val="00953E57"/>
    <w:rsid w:val="00954170"/>
    <w:rsid w:val="0095420F"/>
    <w:rsid w:val="00954CC0"/>
    <w:rsid w:val="00955C25"/>
    <w:rsid w:val="00956BB5"/>
    <w:rsid w:val="009572E5"/>
    <w:rsid w:val="00957676"/>
    <w:rsid w:val="009617E7"/>
    <w:rsid w:val="009621B2"/>
    <w:rsid w:val="00963A1A"/>
    <w:rsid w:val="00963E1E"/>
    <w:rsid w:val="00964590"/>
    <w:rsid w:val="0096654A"/>
    <w:rsid w:val="009677E3"/>
    <w:rsid w:val="00971187"/>
    <w:rsid w:val="00971196"/>
    <w:rsid w:val="009727AA"/>
    <w:rsid w:val="00973755"/>
    <w:rsid w:val="00976040"/>
    <w:rsid w:val="00980736"/>
    <w:rsid w:val="009807A1"/>
    <w:rsid w:val="00981704"/>
    <w:rsid w:val="0098182C"/>
    <w:rsid w:val="00981D80"/>
    <w:rsid w:val="00983F39"/>
    <w:rsid w:val="00984390"/>
    <w:rsid w:val="00985839"/>
    <w:rsid w:val="0099125B"/>
    <w:rsid w:val="00992952"/>
    <w:rsid w:val="00992D61"/>
    <w:rsid w:val="00995929"/>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D7B82"/>
    <w:rsid w:val="009E05B6"/>
    <w:rsid w:val="009E590F"/>
    <w:rsid w:val="009E6ACF"/>
    <w:rsid w:val="009F0C32"/>
    <w:rsid w:val="009F461F"/>
    <w:rsid w:val="00A006D3"/>
    <w:rsid w:val="00A01305"/>
    <w:rsid w:val="00A01EEF"/>
    <w:rsid w:val="00A0259C"/>
    <w:rsid w:val="00A036CB"/>
    <w:rsid w:val="00A0546A"/>
    <w:rsid w:val="00A05EC0"/>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47F1E"/>
    <w:rsid w:val="00A50344"/>
    <w:rsid w:val="00A503E9"/>
    <w:rsid w:val="00A50E65"/>
    <w:rsid w:val="00A52058"/>
    <w:rsid w:val="00A52E2E"/>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627C"/>
    <w:rsid w:val="00A81405"/>
    <w:rsid w:val="00A82114"/>
    <w:rsid w:val="00A82FF0"/>
    <w:rsid w:val="00A83207"/>
    <w:rsid w:val="00A83BED"/>
    <w:rsid w:val="00A8488F"/>
    <w:rsid w:val="00A85DA3"/>
    <w:rsid w:val="00A92670"/>
    <w:rsid w:val="00A96434"/>
    <w:rsid w:val="00A96AAF"/>
    <w:rsid w:val="00A979BC"/>
    <w:rsid w:val="00AA03B1"/>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0413"/>
    <w:rsid w:val="00AD1058"/>
    <w:rsid w:val="00AD18B4"/>
    <w:rsid w:val="00AD4FB0"/>
    <w:rsid w:val="00AD7F13"/>
    <w:rsid w:val="00AE04A8"/>
    <w:rsid w:val="00AE117D"/>
    <w:rsid w:val="00AE1842"/>
    <w:rsid w:val="00AE1843"/>
    <w:rsid w:val="00AE1EEC"/>
    <w:rsid w:val="00AE23F9"/>
    <w:rsid w:val="00AE2430"/>
    <w:rsid w:val="00AE4000"/>
    <w:rsid w:val="00AE52CE"/>
    <w:rsid w:val="00AE5452"/>
    <w:rsid w:val="00AE5EF5"/>
    <w:rsid w:val="00AE6188"/>
    <w:rsid w:val="00AE7AF0"/>
    <w:rsid w:val="00AF258A"/>
    <w:rsid w:val="00AF4AE5"/>
    <w:rsid w:val="00AF5D1E"/>
    <w:rsid w:val="00AF6D11"/>
    <w:rsid w:val="00B01B17"/>
    <w:rsid w:val="00B04103"/>
    <w:rsid w:val="00B047E9"/>
    <w:rsid w:val="00B050FB"/>
    <w:rsid w:val="00B05867"/>
    <w:rsid w:val="00B07BDD"/>
    <w:rsid w:val="00B10EC0"/>
    <w:rsid w:val="00B123FF"/>
    <w:rsid w:val="00B134B6"/>
    <w:rsid w:val="00B142F4"/>
    <w:rsid w:val="00B14448"/>
    <w:rsid w:val="00B16061"/>
    <w:rsid w:val="00B1645D"/>
    <w:rsid w:val="00B16CC2"/>
    <w:rsid w:val="00B17C66"/>
    <w:rsid w:val="00B17DAF"/>
    <w:rsid w:val="00B17E1E"/>
    <w:rsid w:val="00B21C56"/>
    <w:rsid w:val="00B24AE7"/>
    <w:rsid w:val="00B25103"/>
    <w:rsid w:val="00B27A8F"/>
    <w:rsid w:val="00B27B2E"/>
    <w:rsid w:val="00B31421"/>
    <w:rsid w:val="00B31D2B"/>
    <w:rsid w:val="00B31E2C"/>
    <w:rsid w:val="00B32E44"/>
    <w:rsid w:val="00B336AA"/>
    <w:rsid w:val="00B34173"/>
    <w:rsid w:val="00B362ED"/>
    <w:rsid w:val="00B36952"/>
    <w:rsid w:val="00B375B6"/>
    <w:rsid w:val="00B40432"/>
    <w:rsid w:val="00B410C1"/>
    <w:rsid w:val="00B4166B"/>
    <w:rsid w:val="00B418ED"/>
    <w:rsid w:val="00B42554"/>
    <w:rsid w:val="00B42703"/>
    <w:rsid w:val="00B43502"/>
    <w:rsid w:val="00B4391E"/>
    <w:rsid w:val="00B43ED0"/>
    <w:rsid w:val="00B45081"/>
    <w:rsid w:val="00B4549F"/>
    <w:rsid w:val="00B46290"/>
    <w:rsid w:val="00B46384"/>
    <w:rsid w:val="00B46FA7"/>
    <w:rsid w:val="00B503D0"/>
    <w:rsid w:val="00B513B4"/>
    <w:rsid w:val="00B514DC"/>
    <w:rsid w:val="00B522AA"/>
    <w:rsid w:val="00B60A84"/>
    <w:rsid w:val="00B60AED"/>
    <w:rsid w:val="00B60B0D"/>
    <w:rsid w:val="00B610DD"/>
    <w:rsid w:val="00B627D5"/>
    <w:rsid w:val="00B62948"/>
    <w:rsid w:val="00B62AB3"/>
    <w:rsid w:val="00B63B5B"/>
    <w:rsid w:val="00B64AD4"/>
    <w:rsid w:val="00B64E9D"/>
    <w:rsid w:val="00B6579A"/>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711"/>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2033"/>
    <w:rsid w:val="00C05FD9"/>
    <w:rsid w:val="00C06BBC"/>
    <w:rsid w:val="00C06C54"/>
    <w:rsid w:val="00C07703"/>
    <w:rsid w:val="00C07949"/>
    <w:rsid w:val="00C105ED"/>
    <w:rsid w:val="00C109F0"/>
    <w:rsid w:val="00C11925"/>
    <w:rsid w:val="00C120C1"/>
    <w:rsid w:val="00C129D7"/>
    <w:rsid w:val="00C12B50"/>
    <w:rsid w:val="00C13AC2"/>
    <w:rsid w:val="00C13E18"/>
    <w:rsid w:val="00C16BE6"/>
    <w:rsid w:val="00C20BEA"/>
    <w:rsid w:val="00C21E38"/>
    <w:rsid w:val="00C241D4"/>
    <w:rsid w:val="00C2433C"/>
    <w:rsid w:val="00C24C84"/>
    <w:rsid w:val="00C24D43"/>
    <w:rsid w:val="00C24F5B"/>
    <w:rsid w:val="00C250E8"/>
    <w:rsid w:val="00C26014"/>
    <w:rsid w:val="00C2620B"/>
    <w:rsid w:val="00C264F8"/>
    <w:rsid w:val="00C27BA5"/>
    <w:rsid w:val="00C27D23"/>
    <w:rsid w:val="00C31313"/>
    <w:rsid w:val="00C320B6"/>
    <w:rsid w:val="00C32874"/>
    <w:rsid w:val="00C33E7B"/>
    <w:rsid w:val="00C37286"/>
    <w:rsid w:val="00C405D9"/>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784C"/>
    <w:rsid w:val="00C600E8"/>
    <w:rsid w:val="00C62ECF"/>
    <w:rsid w:val="00C64618"/>
    <w:rsid w:val="00C67B70"/>
    <w:rsid w:val="00C70D0F"/>
    <w:rsid w:val="00C7219E"/>
    <w:rsid w:val="00C72DAA"/>
    <w:rsid w:val="00C745D1"/>
    <w:rsid w:val="00C7546F"/>
    <w:rsid w:val="00C7758D"/>
    <w:rsid w:val="00C77777"/>
    <w:rsid w:val="00C82B5D"/>
    <w:rsid w:val="00C8318D"/>
    <w:rsid w:val="00C83387"/>
    <w:rsid w:val="00C83AA5"/>
    <w:rsid w:val="00C83C98"/>
    <w:rsid w:val="00C84986"/>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514"/>
    <w:rsid w:val="00CB089A"/>
    <w:rsid w:val="00CB0974"/>
    <w:rsid w:val="00CB4525"/>
    <w:rsid w:val="00CB4FB7"/>
    <w:rsid w:val="00CB5434"/>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3BCD"/>
    <w:rsid w:val="00CF44B0"/>
    <w:rsid w:val="00CF4C62"/>
    <w:rsid w:val="00CF4DED"/>
    <w:rsid w:val="00CF79CE"/>
    <w:rsid w:val="00D00B5B"/>
    <w:rsid w:val="00D0206C"/>
    <w:rsid w:val="00D0502F"/>
    <w:rsid w:val="00D0697C"/>
    <w:rsid w:val="00D07F62"/>
    <w:rsid w:val="00D10B90"/>
    <w:rsid w:val="00D113F1"/>
    <w:rsid w:val="00D118DA"/>
    <w:rsid w:val="00D12387"/>
    <w:rsid w:val="00D12577"/>
    <w:rsid w:val="00D13663"/>
    <w:rsid w:val="00D13E3F"/>
    <w:rsid w:val="00D149A1"/>
    <w:rsid w:val="00D14F2A"/>
    <w:rsid w:val="00D17B15"/>
    <w:rsid w:val="00D20058"/>
    <w:rsid w:val="00D20884"/>
    <w:rsid w:val="00D20D3E"/>
    <w:rsid w:val="00D22687"/>
    <w:rsid w:val="00D24EDB"/>
    <w:rsid w:val="00D251BB"/>
    <w:rsid w:val="00D25C07"/>
    <w:rsid w:val="00D260E2"/>
    <w:rsid w:val="00D26951"/>
    <w:rsid w:val="00D2779E"/>
    <w:rsid w:val="00D27FD3"/>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46FB"/>
    <w:rsid w:val="00D550D9"/>
    <w:rsid w:val="00D60AD8"/>
    <w:rsid w:val="00D6135D"/>
    <w:rsid w:val="00D61844"/>
    <w:rsid w:val="00D61AA5"/>
    <w:rsid w:val="00D652FC"/>
    <w:rsid w:val="00D71699"/>
    <w:rsid w:val="00D72B69"/>
    <w:rsid w:val="00D73493"/>
    <w:rsid w:val="00D74098"/>
    <w:rsid w:val="00D74264"/>
    <w:rsid w:val="00D749C9"/>
    <w:rsid w:val="00D74DEF"/>
    <w:rsid w:val="00D777C4"/>
    <w:rsid w:val="00D80578"/>
    <w:rsid w:val="00D8102F"/>
    <w:rsid w:val="00D81AA3"/>
    <w:rsid w:val="00D81C1F"/>
    <w:rsid w:val="00D83636"/>
    <w:rsid w:val="00D85F98"/>
    <w:rsid w:val="00D86455"/>
    <w:rsid w:val="00D869C3"/>
    <w:rsid w:val="00D905D5"/>
    <w:rsid w:val="00D912FC"/>
    <w:rsid w:val="00D91AE1"/>
    <w:rsid w:val="00DA151F"/>
    <w:rsid w:val="00DA1684"/>
    <w:rsid w:val="00DA397A"/>
    <w:rsid w:val="00DA3B92"/>
    <w:rsid w:val="00DA4689"/>
    <w:rsid w:val="00DA474C"/>
    <w:rsid w:val="00DA4891"/>
    <w:rsid w:val="00DA4926"/>
    <w:rsid w:val="00DA6B7D"/>
    <w:rsid w:val="00DB02C0"/>
    <w:rsid w:val="00DB0357"/>
    <w:rsid w:val="00DB2227"/>
    <w:rsid w:val="00DB23F6"/>
    <w:rsid w:val="00DB284F"/>
    <w:rsid w:val="00DB3E0A"/>
    <w:rsid w:val="00DB5D01"/>
    <w:rsid w:val="00DB79E4"/>
    <w:rsid w:val="00DC06A4"/>
    <w:rsid w:val="00DC0ACA"/>
    <w:rsid w:val="00DC1684"/>
    <w:rsid w:val="00DC2BF8"/>
    <w:rsid w:val="00DC3459"/>
    <w:rsid w:val="00DC3B22"/>
    <w:rsid w:val="00DD0D69"/>
    <w:rsid w:val="00DD26E3"/>
    <w:rsid w:val="00DD4EF2"/>
    <w:rsid w:val="00DD7636"/>
    <w:rsid w:val="00DE16CD"/>
    <w:rsid w:val="00DE32E5"/>
    <w:rsid w:val="00DE3605"/>
    <w:rsid w:val="00DE3946"/>
    <w:rsid w:val="00DE44DB"/>
    <w:rsid w:val="00DE4881"/>
    <w:rsid w:val="00DE4AD3"/>
    <w:rsid w:val="00DE5661"/>
    <w:rsid w:val="00DF09B1"/>
    <w:rsid w:val="00DF14B9"/>
    <w:rsid w:val="00DF26B2"/>
    <w:rsid w:val="00DF4DDE"/>
    <w:rsid w:val="00DF5762"/>
    <w:rsid w:val="00DF73C4"/>
    <w:rsid w:val="00DF76B9"/>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329"/>
    <w:rsid w:val="00E15664"/>
    <w:rsid w:val="00E15A03"/>
    <w:rsid w:val="00E167E1"/>
    <w:rsid w:val="00E21E8C"/>
    <w:rsid w:val="00E228D6"/>
    <w:rsid w:val="00E250B5"/>
    <w:rsid w:val="00E26155"/>
    <w:rsid w:val="00E2708D"/>
    <w:rsid w:val="00E270E6"/>
    <w:rsid w:val="00E2770A"/>
    <w:rsid w:val="00E33737"/>
    <w:rsid w:val="00E33CD1"/>
    <w:rsid w:val="00E40C06"/>
    <w:rsid w:val="00E40F6F"/>
    <w:rsid w:val="00E42717"/>
    <w:rsid w:val="00E43DFA"/>
    <w:rsid w:val="00E44250"/>
    <w:rsid w:val="00E45553"/>
    <w:rsid w:val="00E4639E"/>
    <w:rsid w:val="00E47E96"/>
    <w:rsid w:val="00E53631"/>
    <w:rsid w:val="00E5420C"/>
    <w:rsid w:val="00E56339"/>
    <w:rsid w:val="00E56ECC"/>
    <w:rsid w:val="00E572EF"/>
    <w:rsid w:val="00E5762D"/>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1DF8"/>
    <w:rsid w:val="00EA3A4B"/>
    <w:rsid w:val="00EA4F03"/>
    <w:rsid w:val="00EA6C48"/>
    <w:rsid w:val="00EA71E1"/>
    <w:rsid w:val="00EB0107"/>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4242"/>
    <w:rsid w:val="00ED4755"/>
    <w:rsid w:val="00ED584C"/>
    <w:rsid w:val="00ED7431"/>
    <w:rsid w:val="00EE0519"/>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10EE"/>
    <w:rsid w:val="00F02332"/>
    <w:rsid w:val="00F0467A"/>
    <w:rsid w:val="00F0649C"/>
    <w:rsid w:val="00F07952"/>
    <w:rsid w:val="00F20E61"/>
    <w:rsid w:val="00F2303B"/>
    <w:rsid w:val="00F23656"/>
    <w:rsid w:val="00F238B5"/>
    <w:rsid w:val="00F257D4"/>
    <w:rsid w:val="00F25A44"/>
    <w:rsid w:val="00F25F45"/>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444B"/>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8786B"/>
    <w:rsid w:val="00F90530"/>
    <w:rsid w:val="00F91D8A"/>
    <w:rsid w:val="00F93915"/>
    <w:rsid w:val="00F94304"/>
    <w:rsid w:val="00F943F5"/>
    <w:rsid w:val="00F94501"/>
    <w:rsid w:val="00F94AF9"/>
    <w:rsid w:val="00F94F1B"/>
    <w:rsid w:val="00F957AF"/>
    <w:rsid w:val="00F96174"/>
    <w:rsid w:val="00FA08E4"/>
    <w:rsid w:val="00FA1A11"/>
    <w:rsid w:val="00FA2515"/>
    <w:rsid w:val="00FA269B"/>
    <w:rsid w:val="00FA340A"/>
    <w:rsid w:val="00FA4F9B"/>
    <w:rsid w:val="00FA5DAA"/>
    <w:rsid w:val="00FA710D"/>
    <w:rsid w:val="00FB0D18"/>
    <w:rsid w:val="00FB0D71"/>
    <w:rsid w:val="00FB1517"/>
    <w:rsid w:val="00FB390F"/>
    <w:rsid w:val="00FB4712"/>
    <w:rsid w:val="00FB4E49"/>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037"/>
    <w:rsid w:val="00FE0B7F"/>
    <w:rsid w:val="00FE0F32"/>
    <w:rsid w:val="00FE11DF"/>
    <w:rsid w:val="00FE2E9C"/>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7477"/>
  <w15:docId w15:val="{E8F470B3-A7E9-4B92-8E2E-69DAB373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5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171918904">
      <w:bodyDiv w:val="1"/>
      <w:marLeft w:val="0"/>
      <w:marRight w:val="0"/>
      <w:marTop w:val="0"/>
      <w:marBottom w:val="0"/>
      <w:divBdr>
        <w:top w:val="none" w:sz="0" w:space="0" w:color="auto"/>
        <w:left w:val="none" w:sz="0" w:space="0" w:color="auto"/>
        <w:bottom w:val="none" w:sz="0" w:space="0" w:color="auto"/>
        <w:right w:val="none" w:sz="0" w:space="0" w:color="auto"/>
      </w:divBdr>
    </w:div>
    <w:div w:id="196479142">
      <w:bodyDiv w:val="1"/>
      <w:marLeft w:val="0"/>
      <w:marRight w:val="0"/>
      <w:marTop w:val="0"/>
      <w:marBottom w:val="0"/>
      <w:divBdr>
        <w:top w:val="none" w:sz="0" w:space="0" w:color="auto"/>
        <w:left w:val="none" w:sz="0" w:space="0" w:color="auto"/>
        <w:bottom w:val="none" w:sz="0" w:space="0" w:color="auto"/>
        <w:right w:val="none" w:sz="0" w:space="0" w:color="auto"/>
      </w:divBdr>
    </w:div>
    <w:div w:id="198670851">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6177067">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358316845">
      <w:bodyDiv w:val="1"/>
      <w:marLeft w:val="0"/>
      <w:marRight w:val="0"/>
      <w:marTop w:val="0"/>
      <w:marBottom w:val="0"/>
      <w:divBdr>
        <w:top w:val="none" w:sz="0" w:space="0" w:color="auto"/>
        <w:left w:val="none" w:sz="0" w:space="0" w:color="auto"/>
        <w:bottom w:val="none" w:sz="0" w:space="0" w:color="auto"/>
        <w:right w:val="none" w:sz="0" w:space="0" w:color="auto"/>
      </w:divBdr>
    </w:div>
    <w:div w:id="446317804">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496727072">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5861847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842860217">
      <w:bodyDiv w:val="1"/>
      <w:marLeft w:val="0"/>
      <w:marRight w:val="0"/>
      <w:marTop w:val="0"/>
      <w:marBottom w:val="0"/>
      <w:divBdr>
        <w:top w:val="none" w:sz="0" w:space="0" w:color="auto"/>
        <w:left w:val="none" w:sz="0" w:space="0" w:color="auto"/>
        <w:bottom w:val="none" w:sz="0" w:space="0" w:color="auto"/>
        <w:right w:val="none" w:sz="0" w:space="0" w:color="auto"/>
      </w:divBdr>
    </w:div>
    <w:div w:id="854265581">
      <w:bodyDiv w:val="1"/>
      <w:marLeft w:val="0"/>
      <w:marRight w:val="0"/>
      <w:marTop w:val="0"/>
      <w:marBottom w:val="0"/>
      <w:divBdr>
        <w:top w:val="none" w:sz="0" w:space="0" w:color="auto"/>
        <w:left w:val="none" w:sz="0" w:space="0" w:color="auto"/>
        <w:bottom w:val="none" w:sz="0" w:space="0" w:color="auto"/>
        <w:right w:val="none" w:sz="0" w:space="0" w:color="auto"/>
      </w:divBdr>
    </w:div>
    <w:div w:id="879131442">
      <w:bodyDiv w:val="1"/>
      <w:marLeft w:val="0"/>
      <w:marRight w:val="0"/>
      <w:marTop w:val="0"/>
      <w:marBottom w:val="0"/>
      <w:divBdr>
        <w:top w:val="none" w:sz="0" w:space="0" w:color="auto"/>
        <w:left w:val="none" w:sz="0" w:space="0" w:color="auto"/>
        <w:bottom w:val="none" w:sz="0" w:space="0" w:color="auto"/>
        <w:right w:val="none" w:sz="0" w:space="0" w:color="auto"/>
      </w:divBdr>
    </w:div>
    <w:div w:id="89354516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08564044">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381453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41921708">
      <w:bodyDiv w:val="1"/>
      <w:marLeft w:val="0"/>
      <w:marRight w:val="0"/>
      <w:marTop w:val="0"/>
      <w:marBottom w:val="0"/>
      <w:divBdr>
        <w:top w:val="none" w:sz="0" w:space="0" w:color="auto"/>
        <w:left w:val="none" w:sz="0" w:space="0" w:color="auto"/>
        <w:bottom w:val="none" w:sz="0" w:space="0" w:color="auto"/>
        <w:right w:val="none" w:sz="0" w:space="0" w:color="auto"/>
      </w:divBdr>
    </w:div>
    <w:div w:id="1177961262">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24832783">
      <w:bodyDiv w:val="1"/>
      <w:marLeft w:val="0"/>
      <w:marRight w:val="0"/>
      <w:marTop w:val="0"/>
      <w:marBottom w:val="0"/>
      <w:divBdr>
        <w:top w:val="none" w:sz="0" w:space="0" w:color="auto"/>
        <w:left w:val="none" w:sz="0" w:space="0" w:color="auto"/>
        <w:bottom w:val="none" w:sz="0" w:space="0" w:color="auto"/>
        <w:right w:val="none" w:sz="0" w:space="0" w:color="auto"/>
      </w:divBdr>
    </w:div>
    <w:div w:id="1241478248">
      <w:bodyDiv w:val="1"/>
      <w:marLeft w:val="0"/>
      <w:marRight w:val="0"/>
      <w:marTop w:val="0"/>
      <w:marBottom w:val="0"/>
      <w:divBdr>
        <w:top w:val="none" w:sz="0" w:space="0" w:color="auto"/>
        <w:left w:val="none" w:sz="0" w:space="0" w:color="auto"/>
        <w:bottom w:val="none" w:sz="0" w:space="0" w:color="auto"/>
        <w:right w:val="none" w:sz="0" w:space="0" w:color="auto"/>
      </w:divBdr>
    </w:div>
    <w:div w:id="1244293417">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379933602">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429278834">
      <w:bodyDiv w:val="1"/>
      <w:marLeft w:val="0"/>
      <w:marRight w:val="0"/>
      <w:marTop w:val="0"/>
      <w:marBottom w:val="0"/>
      <w:divBdr>
        <w:top w:val="none" w:sz="0" w:space="0" w:color="auto"/>
        <w:left w:val="none" w:sz="0" w:space="0" w:color="auto"/>
        <w:bottom w:val="none" w:sz="0" w:space="0" w:color="auto"/>
        <w:right w:val="none" w:sz="0" w:space="0" w:color="auto"/>
      </w:divBdr>
    </w:div>
    <w:div w:id="1480539859">
      <w:bodyDiv w:val="1"/>
      <w:marLeft w:val="0"/>
      <w:marRight w:val="0"/>
      <w:marTop w:val="0"/>
      <w:marBottom w:val="0"/>
      <w:divBdr>
        <w:top w:val="none" w:sz="0" w:space="0" w:color="auto"/>
        <w:left w:val="none" w:sz="0" w:space="0" w:color="auto"/>
        <w:bottom w:val="none" w:sz="0" w:space="0" w:color="auto"/>
        <w:right w:val="none" w:sz="0" w:space="0" w:color="auto"/>
      </w:divBdr>
    </w:div>
    <w:div w:id="1498110780">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57813925">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27538167">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79596684">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5440912">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27430534">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12883051">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3923250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72344327">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09425309">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iska.krohova@crestcom.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Props1.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3978AD-64AB-4F8B-810F-EC2F5BA049BC}">
  <ds:schemaRefs>
    <ds:schemaRef ds:uri="http://schemas.openxmlformats.org/officeDocument/2006/bibliography"/>
  </ds:schemaRefs>
</ds:datastoreItem>
</file>

<file path=customXml/itemProps3.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4.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1559</Words>
  <Characters>9203</Characters>
  <Application>Microsoft Office Word</Application>
  <DocSecurity>0</DocSecurity>
  <Lines>76</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10741</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2024-09-30T08:58:00Z</dcterms:created>
  <dcterms:modified xsi:type="dcterms:W3CDTF">2024-09-30T08:58:00Z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